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1432E" w14:textId="77777777" w:rsidR="00054230" w:rsidRDefault="00054230" w:rsidP="00054230">
      <w:pPr>
        <w:rPr>
          <w:rFonts w:ascii="Open Sans" w:hAnsi="Open Sans" w:cs="Open Sans"/>
          <w:sz w:val="20"/>
          <w:szCs w:val="20"/>
        </w:rPr>
      </w:pPr>
    </w:p>
    <w:p w14:paraId="7BFB322B" w14:textId="77777777" w:rsidR="00054230" w:rsidRDefault="00054230" w:rsidP="00054230">
      <w:pPr>
        <w:jc w:val="center"/>
        <w:rPr>
          <w:rFonts w:ascii="Open Sans" w:hAnsi="Open Sans" w:cs="Open Sans"/>
          <w:b/>
          <w:sz w:val="20"/>
          <w:szCs w:val="20"/>
        </w:rPr>
      </w:pPr>
      <w:r>
        <w:rPr>
          <w:rFonts w:ascii="Open Sans" w:hAnsi="Open Sans" w:cs="Open Sans"/>
          <w:b/>
          <w:sz w:val="20"/>
          <w:szCs w:val="20"/>
        </w:rPr>
        <w:t xml:space="preserve">CONSULTATION ON </w:t>
      </w:r>
      <w:r>
        <w:rPr>
          <w:rFonts w:ascii="Open Sans" w:hAnsi="Open Sans" w:cs="Open Sans"/>
          <w:b/>
          <w:sz w:val="20"/>
          <w:szCs w:val="20"/>
        </w:rPr>
        <w:t>RESTORING TRUST IN AUDIT AND CORPORATE GOVERNANCE</w:t>
      </w:r>
    </w:p>
    <w:p w14:paraId="6EC0A27D" w14:textId="77777777" w:rsidR="00054230" w:rsidRDefault="00054230" w:rsidP="00054230">
      <w:pPr>
        <w:jc w:val="center"/>
        <w:rPr>
          <w:rFonts w:ascii="Open Sans" w:hAnsi="Open Sans" w:cs="Open Sans"/>
          <w:b/>
          <w:sz w:val="20"/>
          <w:szCs w:val="20"/>
        </w:rPr>
      </w:pPr>
    </w:p>
    <w:p w14:paraId="6F2693D0" w14:textId="77777777" w:rsidR="00054230" w:rsidRDefault="00054230" w:rsidP="00054230">
      <w:pPr>
        <w:jc w:val="center"/>
        <w:rPr>
          <w:rFonts w:ascii="Open Sans" w:hAnsi="Open Sans" w:cs="Open Sans"/>
          <w:b/>
          <w:sz w:val="20"/>
          <w:szCs w:val="20"/>
        </w:rPr>
      </w:pPr>
      <w:r>
        <w:rPr>
          <w:rFonts w:ascii="Open Sans" w:hAnsi="Open Sans" w:cs="Open Sans"/>
          <w:b/>
          <w:sz w:val="20"/>
          <w:szCs w:val="20"/>
        </w:rPr>
        <w:t>RESPONSE FROM THE PENSION PROTECTION FUND</w:t>
      </w:r>
    </w:p>
    <w:p w14:paraId="36017CE3" w14:textId="77777777" w:rsidR="00054230" w:rsidRPr="00370150" w:rsidRDefault="00054230" w:rsidP="00054230">
      <w:pPr>
        <w:jc w:val="center"/>
        <w:rPr>
          <w:rFonts w:ascii="Open Sans" w:hAnsi="Open Sans" w:cs="Open Sans"/>
          <w:b/>
          <w:sz w:val="20"/>
          <w:szCs w:val="20"/>
        </w:rPr>
      </w:pPr>
      <w:r>
        <w:rPr>
          <w:rFonts w:ascii="Open Sans" w:hAnsi="Open Sans" w:cs="Open Sans"/>
          <w:b/>
          <w:sz w:val="20"/>
          <w:szCs w:val="20"/>
        </w:rPr>
        <w:t>JULY</w:t>
      </w:r>
      <w:r w:rsidRPr="00370150">
        <w:rPr>
          <w:rFonts w:ascii="Open Sans" w:hAnsi="Open Sans" w:cs="Open Sans"/>
          <w:b/>
          <w:sz w:val="20"/>
          <w:szCs w:val="20"/>
        </w:rPr>
        <w:t xml:space="preserve"> 202</w:t>
      </w:r>
      <w:r>
        <w:rPr>
          <w:rFonts w:ascii="Open Sans" w:hAnsi="Open Sans" w:cs="Open Sans"/>
          <w:b/>
          <w:sz w:val="20"/>
          <w:szCs w:val="20"/>
        </w:rPr>
        <w:t>1</w:t>
      </w:r>
    </w:p>
    <w:p w14:paraId="7220E0B6" w14:textId="77777777" w:rsidR="00054230" w:rsidRDefault="00054230" w:rsidP="00054230">
      <w:pPr>
        <w:jc w:val="center"/>
        <w:rPr>
          <w:rFonts w:ascii="Open Sans" w:hAnsi="Open Sans" w:cs="Open Sans"/>
          <w:b/>
          <w:sz w:val="20"/>
          <w:szCs w:val="20"/>
        </w:rPr>
      </w:pPr>
    </w:p>
    <w:p w14:paraId="7259948F" w14:textId="77777777" w:rsidR="00054230" w:rsidRPr="0061712A" w:rsidRDefault="00054230" w:rsidP="00054230">
      <w:pPr>
        <w:pBdr>
          <w:top w:val="single" w:sz="4" w:space="1" w:color="auto"/>
          <w:left w:val="single" w:sz="4" w:space="4" w:color="auto"/>
          <w:bottom w:val="single" w:sz="4" w:space="1" w:color="auto"/>
          <w:right w:val="single" w:sz="4" w:space="4" w:color="auto"/>
        </w:pBdr>
        <w:rPr>
          <w:rFonts w:ascii="Open Sans" w:hAnsi="Open Sans" w:cs="Open Sans"/>
          <w:b/>
          <w:sz w:val="20"/>
          <w:szCs w:val="20"/>
        </w:rPr>
      </w:pPr>
      <w:r w:rsidRPr="0061712A">
        <w:rPr>
          <w:rFonts w:ascii="Open Sans" w:hAnsi="Open Sans" w:cs="Open Sans"/>
          <w:b/>
          <w:sz w:val="20"/>
          <w:szCs w:val="20"/>
        </w:rPr>
        <w:t>About the PPF</w:t>
      </w:r>
    </w:p>
    <w:p w14:paraId="71A52842" w14:textId="77777777" w:rsidR="00054230" w:rsidRPr="0061712A" w:rsidRDefault="00054230" w:rsidP="00054230">
      <w:pPr>
        <w:pBdr>
          <w:top w:val="single" w:sz="4" w:space="1" w:color="auto"/>
          <w:left w:val="single" w:sz="4" w:space="4" w:color="auto"/>
          <w:bottom w:val="single" w:sz="4" w:space="1" w:color="auto"/>
          <w:right w:val="single" w:sz="4" w:space="4" w:color="auto"/>
        </w:pBdr>
        <w:rPr>
          <w:rFonts w:ascii="Open Sans" w:hAnsi="Open Sans" w:cs="Open Sans"/>
          <w:sz w:val="20"/>
          <w:szCs w:val="20"/>
        </w:rPr>
      </w:pPr>
      <w:r w:rsidRPr="0061712A">
        <w:rPr>
          <w:rFonts w:ascii="Open Sans" w:hAnsi="Open Sans" w:cs="Open Sans"/>
          <w:sz w:val="20"/>
          <w:szCs w:val="20"/>
        </w:rPr>
        <w:t>The Pension Protection Fund (PPF) was established to pay compensation to members of eligible defined benefit pension schemes, when there is a qualifying insolvency event in relation to the employer and where there are insufficient assets in the pension scheme to cover PPF levels of compensation.</w:t>
      </w:r>
    </w:p>
    <w:p w14:paraId="680664FC" w14:textId="77777777" w:rsidR="00054230" w:rsidRPr="0061712A" w:rsidRDefault="00054230" w:rsidP="00054230">
      <w:pPr>
        <w:pBdr>
          <w:top w:val="single" w:sz="4" w:space="1" w:color="auto"/>
          <w:left w:val="single" w:sz="4" w:space="4" w:color="auto"/>
          <w:bottom w:val="single" w:sz="4" w:space="1" w:color="auto"/>
          <w:right w:val="single" w:sz="4" w:space="4" w:color="auto"/>
        </w:pBdr>
        <w:rPr>
          <w:rFonts w:ascii="Open Sans" w:hAnsi="Open Sans" w:cs="Open Sans"/>
          <w:sz w:val="20"/>
          <w:szCs w:val="20"/>
        </w:rPr>
      </w:pPr>
      <w:r w:rsidRPr="0061712A">
        <w:rPr>
          <w:rFonts w:ascii="Open Sans" w:hAnsi="Open Sans" w:cs="Open Sans"/>
          <w:sz w:val="20"/>
          <w:szCs w:val="20"/>
        </w:rPr>
        <w:t xml:space="preserve">The PPF is a statutory fund run by the Board of the PPF, a statutory corporation established under the provisions of the Pensions Act 2004. The PPF became operational on 6 April 2005. </w:t>
      </w:r>
    </w:p>
    <w:p w14:paraId="585CFEDF" w14:textId="77777777" w:rsidR="00054230" w:rsidRPr="0061712A" w:rsidRDefault="00054230" w:rsidP="00054230">
      <w:pPr>
        <w:pBdr>
          <w:top w:val="single" w:sz="4" w:space="1" w:color="auto"/>
          <w:left w:val="single" w:sz="4" w:space="4" w:color="auto"/>
          <w:bottom w:val="single" w:sz="4" w:space="1" w:color="auto"/>
          <w:right w:val="single" w:sz="4" w:space="4" w:color="auto"/>
        </w:pBdr>
        <w:rPr>
          <w:rFonts w:ascii="Open Sans" w:hAnsi="Open Sans" w:cs="Open Sans"/>
          <w:sz w:val="20"/>
          <w:szCs w:val="20"/>
        </w:rPr>
      </w:pPr>
      <w:r w:rsidRPr="0061712A">
        <w:rPr>
          <w:rFonts w:ascii="Open Sans" w:hAnsi="Open Sans" w:cs="Open Sans"/>
          <w:sz w:val="20"/>
          <w:szCs w:val="20"/>
        </w:rPr>
        <w:t xml:space="preserve"> On 10 July 2009 the Board of the PPF was also given the responsibility of being the scheme manager for the Financial Assistance Scheme (FAS). FAS provides assistance to members of eligible underfunded defined benefit schemes that started to wind-up between 1 January 1997 and 5 April 2005, or between 6 April 2005 and 27 March 2014 where an employer insolvency event occurred before 6 April 2005.</w:t>
      </w:r>
    </w:p>
    <w:p w14:paraId="02AA9D5D" w14:textId="77777777" w:rsidR="00054230" w:rsidRDefault="00054230" w:rsidP="00054230">
      <w:pPr>
        <w:rPr>
          <w:rFonts w:ascii="Open Sans" w:hAnsi="Open Sans" w:cs="Open Sans"/>
          <w:b/>
          <w:sz w:val="20"/>
          <w:szCs w:val="20"/>
        </w:rPr>
      </w:pPr>
      <w:r>
        <w:rPr>
          <w:rFonts w:ascii="Open Sans" w:hAnsi="Open Sans" w:cs="Open Sans"/>
          <w:b/>
          <w:sz w:val="20"/>
          <w:szCs w:val="20"/>
        </w:rPr>
        <w:t>General comments</w:t>
      </w:r>
    </w:p>
    <w:p w14:paraId="2901661B" w14:textId="77777777" w:rsidR="00DC2B2E" w:rsidRPr="00DC2B2E" w:rsidRDefault="00DC2B2E" w:rsidP="00DC2B2E">
      <w:pPr>
        <w:rPr>
          <w:rFonts w:ascii="Open Sans" w:hAnsi="Open Sans" w:cs="Open Sans"/>
          <w:sz w:val="20"/>
          <w:szCs w:val="20"/>
        </w:rPr>
      </w:pPr>
      <w:r w:rsidRPr="00DC2B2E">
        <w:rPr>
          <w:rFonts w:ascii="Open Sans" w:hAnsi="Open Sans" w:cs="Open Sans"/>
          <w:sz w:val="20"/>
          <w:szCs w:val="20"/>
        </w:rPr>
        <w:t xml:space="preserve">We are supportive of the proposals set out in the consultation document.  Improving standards of audit and corporate governance are important in identifying and managing the risks posed to pension scheme members.  Improvements will also support our work as a responsible investor.  </w:t>
      </w:r>
    </w:p>
    <w:p w14:paraId="35B6D65A" w14:textId="77777777" w:rsidR="00DC2B2E" w:rsidRPr="00DC2B2E" w:rsidRDefault="00DC2B2E" w:rsidP="00DC2B2E">
      <w:pPr>
        <w:rPr>
          <w:rFonts w:ascii="Open Sans" w:hAnsi="Open Sans" w:cs="Open Sans"/>
          <w:sz w:val="20"/>
          <w:szCs w:val="20"/>
        </w:rPr>
      </w:pPr>
      <w:r w:rsidRPr="00DC2B2E">
        <w:rPr>
          <w:rFonts w:ascii="Open Sans" w:hAnsi="Open Sans" w:cs="Open Sans"/>
          <w:sz w:val="20"/>
          <w:szCs w:val="20"/>
        </w:rPr>
        <w:t>Of particular interest to us are the proposals in relation to the regulation of the actuarial profession – we have provided responses to the specific questions on these proposals.  On the wider aspects of the consultation we would like to make the following more general observations:</w:t>
      </w:r>
    </w:p>
    <w:p w14:paraId="424A0B8B" w14:textId="77777777" w:rsidR="00DC2B2E" w:rsidRPr="00DC2B2E" w:rsidRDefault="00DC2B2E" w:rsidP="00DC2B2E">
      <w:pPr>
        <w:numPr>
          <w:ilvl w:val="0"/>
          <w:numId w:val="1"/>
        </w:numPr>
        <w:spacing w:after="0" w:line="240" w:lineRule="auto"/>
        <w:contextualSpacing/>
        <w:rPr>
          <w:rFonts w:ascii="Open Sans" w:hAnsi="Open Sans" w:cs="Open Sans"/>
          <w:sz w:val="20"/>
          <w:szCs w:val="20"/>
        </w:rPr>
      </w:pPr>
      <w:r w:rsidRPr="00DC2B2E">
        <w:rPr>
          <w:rFonts w:ascii="Open Sans" w:hAnsi="Open Sans" w:cs="Open Sans"/>
          <w:b/>
          <w:i/>
          <w:sz w:val="20"/>
          <w:szCs w:val="20"/>
        </w:rPr>
        <w:t>Distributions and pension scheme deficits –</w:t>
      </w:r>
      <w:r w:rsidRPr="00DC2B2E">
        <w:rPr>
          <w:rFonts w:ascii="Open Sans" w:hAnsi="Open Sans" w:cs="Open Sans"/>
          <w:sz w:val="20"/>
          <w:szCs w:val="20"/>
        </w:rPr>
        <w:t xml:space="preserve"> any deficit in an employer’s defined benefit pension scheme should be an important factor in determining the extent to which dividend payments can be made.  The Pensions Regulator’s guidance is clear that the plan to repair deficits should ensure fair treatment of the scheme alongside other creditors / shareholders and that ‘covenant leakage’ (i.e. a reduction in the ability of the employer to support the scheme) including through dividend payments should be minimised.  In certain circumstances e.g. if employers are seeking to extend timescales for repaying deficits then dividends and other forms of shareholder distributions should stop.  Given this interaction we think it will be important to consider how scheme deficits should be factored into the calculation of distributable reserves (for the purpose of publishing estimates) and in the statement on the legality of dividends.   </w:t>
      </w:r>
    </w:p>
    <w:p w14:paraId="0092716E" w14:textId="77777777" w:rsidR="00F31CA7" w:rsidRPr="00F31CA7" w:rsidRDefault="00F31CA7" w:rsidP="00F31CA7">
      <w:pPr>
        <w:spacing w:after="0" w:line="240" w:lineRule="auto"/>
        <w:ind w:left="360"/>
        <w:contextualSpacing/>
        <w:rPr>
          <w:rFonts w:ascii="Open Sans" w:hAnsi="Open Sans" w:cs="Open Sans"/>
          <w:sz w:val="20"/>
          <w:szCs w:val="20"/>
        </w:rPr>
      </w:pPr>
    </w:p>
    <w:p w14:paraId="2DA9ACF6" w14:textId="61AE8E35" w:rsidR="00DC2B2E" w:rsidRPr="00DC2B2E" w:rsidRDefault="00DC2B2E" w:rsidP="00DC2B2E">
      <w:pPr>
        <w:numPr>
          <w:ilvl w:val="0"/>
          <w:numId w:val="1"/>
        </w:numPr>
        <w:spacing w:after="0" w:line="240" w:lineRule="auto"/>
        <w:contextualSpacing/>
        <w:rPr>
          <w:rFonts w:ascii="Open Sans" w:hAnsi="Open Sans" w:cs="Open Sans"/>
          <w:sz w:val="20"/>
          <w:szCs w:val="20"/>
        </w:rPr>
      </w:pPr>
      <w:r w:rsidRPr="00DC2B2E">
        <w:rPr>
          <w:rFonts w:ascii="Open Sans" w:hAnsi="Open Sans" w:cs="Open Sans"/>
          <w:b/>
          <w:i/>
          <w:sz w:val="20"/>
          <w:szCs w:val="20"/>
        </w:rPr>
        <w:t>Application to public sector bodies</w:t>
      </w:r>
      <w:r w:rsidRPr="00DC2B2E">
        <w:rPr>
          <w:rFonts w:ascii="Open Sans" w:hAnsi="Open Sans" w:cs="Open Sans"/>
          <w:sz w:val="20"/>
          <w:szCs w:val="20"/>
        </w:rPr>
        <w:t xml:space="preserve"> – as proposals are developed we would welcome clarification as to how they would be applied to public sector and quasi-public sector bodies (like the PPF).  This is both in terms of </w:t>
      </w:r>
      <w:r w:rsidRPr="00DC2B2E">
        <w:rPr>
          <w:rFonts w:ascii="Open Sans" w:hAnsi="Open Sans" w:cs="Open Sans"/>
          <w:i/>
          <w:sz w:val="20"/>
          <w:szCs w:val="20"/>
        </w:rPr>
        <w:t>whether</w:t>
      </w:r>
      <w:r w:rsidRPr="00DC2B2E">
        <w:rPr>
          <w:rFonts w:ascii="Open Sans" w:hAnsi="Open Sans" w:cs="Open Sans"/>
          <w:sz w:val="20"/>
          <w:szCs w:val="20"/>
        </w:rPr>
        <w:t xml:space="preserve"> the proposals would be applied to such entities (and what criteria would be used to determine which entities are ‘in’ and which are ‘out’) and </w:t>
      </w:r>
      <w:r w:rsidRPr="00DC2B2E">
        <w:rPr>
          <w:rFonts w:ascii="Open Sans" w:hAnsi="Open Sans" w:cs="Open Sans"/>
          <w:i/>
          <w:sz w:val="20"/>
          <w:szCs w:val="20"/>
        </w:rPr>
        <w:t>how</w:t>
      </w:r>
      <w:r w:rsidRPr="00DC2B2E">
        <w:rPr>
          <w:rFonts w:ascii="Open Sans" w:hAnsi="Open Sans" w:cs="Open Sans"/>
          <w:sz w:val="20"/>
          <w:szCs w:val="20"/>
        </w:rPr>
        <w:t xml:space="preserve"> they would be applied (not all requirements translate well to the public sector e.g. shareholder obligations).  </w:t>
      </w:r>
    </w:p>
    <w:p w14:paraId="615D2E8F" w14:textId="77777777" w:rsidR="00DC2B2E" w:rsidRPr="00DC2B2E" w:rsidRDefault="00DC2B2E" w:rsidP="00DC2B2E">
      <w:pPr>
        <w:numPr>
          <w:ilvl w:val="0"/>
          <w:numId w:val="1"/>
        </w:numPr>
        <w:spacing w:after="0" w:line="240" w:lineRule="auto"/>
        <w:contextualSpacing/>
        <w:rPr>
          <w:rFonts w:ascii="Open Sans" w:hAnsi="Open Sans" w:cs="Open Sans"/>
          <w:b/>
          <w:i/>
          <w:sz w:val="20"/>
          <w:szCs w:val="20"/>
        </w:rPr>
      </w:pPr>
      <w:r w:rsidRPr="00DC2B2E">
        <w:rPr>
          <w:rFonts w:ascii="Open Sans" w:hAnsi="Open Sans" w:cs="Open Sans"/>
          <w:b/>
          <w:i/>
          <w:sz w:val="20"/>
          <w:szCs w:val="20"/>
        </w:rPr>
        <w:t xml:space="preserve">Internal audit – </w:t>
      </w:r>
      <w:r w:rsidRPr="00DC2B2E">
        <w:rPr>
          <w:rFonts w:ascii="Open Sans" w:hAnsi="Open Sans" w:cs="Open Sans"/>
          <w:sz w:val="20"/>
          <w:szCs w:val="20"/>
        </w:rPr>
        <w:t>we would support points made by the Chartered Institute of Internal Auditors – further thought could usefully be given to the role Internal Audit functions could play in delivering the objectives of the consultation including to avoid duplication of roles and responsibilities between internal and external audit teams.</w:t>
      </w:r>
      <w:r w:rsidRPr="00DC2B2E">
        <w:rPr>
          <w:rFonts w:ascii="Open Sans" w:hAnsi="Open Sans" w:cs="Open Sans"/>
          <w:b/>
          <w:i/>
          <w:sz w:val="20"/>
          <w:szCs w:val="20"/>
        </w:rPr>
        <w:t xml:space="preserve"> </w:t>
      </w:r>
    </w:p>
    <w:p w14:paraId="4ED011F2" w14:textId="77777777" w:rsidR="00DC2B2E" w:rsidRPr="00DC2B2E" w:rsidRDefault="00DC2B2E" w:rsidP="00DC2B2E">
      <w:pPr>
        <w:rPr>
          <w:rFonts w:ascii="Open Sans" w:hAnsi="Open Sans" w:cs="Open Sans"/>
          <w:sz w:val="20"/>
          <w:szCs w:val="20"/>
        </w:rPr>
      </w:pPr>
    </w:p>
    <w:p w14:paraId="1F4D3D45" w14:textId="77777777" w:rsidR="00DC2B2E" w:rsidRPr="00DC2B2E" w:rsidRDefault="00DC2B2E" w:rsidP="00DC2B2E">
      <w:pPr>
        <w:rPr>
          <w:rFonts w:ascii="Open Sans" w:hAnsi="Open Sans" w:cs="Open Sans"/>
          <w:sz w:val="20"/>
          <w:szCs w:val="20"/>
        </w:rPr>
      </w:pPr>
      <w:r w:rsidRPr="00DC2B2E">
        <w:rPr>
          <w:rFonts w:ascii="Open Sans" w:hAnsi="Open Sans" w:cs="Open Sans"/>
          <w:b/>
          <w:sz w:val="20"/>
          <w:szCs w:val="20"/>
        </w:rPr>
        <w:t>Responses to questions in section 11.2:  Oversight and regulation of the actuarial profession</w:t>
      </w:r>
    </w:p>
    <w:p w14:paraId="71343710" w14:textId="77777777" w:rsidR="00DC2B2E" w:rsidRPr="00DC2B2E" w:rsidRDefault="00DC2B2E" w:rsidP="00DC2B2E">
      <w:pPr>
        <w:spacing w:after="0" w:line="240" w:lineRule="auto"/>
        <w:rPr>
          <w:rFonts w:ascii="Open Sans" w:hAnsi="Open Sans" w:cs="Open Sans"/>
          <w:sz w:val="20"/>
          <w:szCs w:val="20"/>
        </w:rPr>
      </w:pPr>
    </w:p>
    <w:p w14:paraId="7B314716" w14:textId="428689B0" w:rsidR="00DC2B2E" w:rsidRPr="00DC2B2E" w:rsidRDefault="00DC2B2E" w:rsidP="00DC2B2E">
      <w:pPr>
        <w:spacing w:after="0" w:line="240" w:lineRule="auto"/>
        <w:rPr>
          <w:rFonts w:ascii="Open Sans" w:hAnsi="Open Sans" w:cs="Open Sans"/>
          <w:b/>
          <w:i/>
          <w:sz w:val="20"/>
          <w:szCs w:val="20"/>
        </w:rPr>
      </w:pPr>
      <w:r w:rsidRPr="00DC2B2E">
        <w:rPr>
          <w:rFonts w:ascii="Open Sans" w:hAnsi="Open Sans" w:cs="Open Sans"/>
          <w:b/>
          <w:i/>
          <w:sz w:val="20"/>
          <w:szCs w:val="20"/>
        </w:rPr>
        <w:t>80.</w:t>
      </w:r>
      <w:r w:rsidR="00F31CA7" w:rsidRPr="00527C56">
        <w:rPr>
          <w:rFonts w:ascii="Open Sans" w:hAnsi="Open Sans" w:cs="Open Sans"/>
          <w:b/>
          <w:i/>
          <w:sz w:val="20"/>
          <w:szCs w:val="20"/>
        </w:rPr>
        <w:t xml:space="preserve"> </w:t>
      </w:r>
      <w:r w:rsidRPr="00DC2B2E">
        <w:rPr>
          <w:rFonts w:ascii="Open Sans" w:hAnsi="Open Sans" w:cs="Open Sans"/>
          <w:b/>
          <w:i/>
          <w:sz w:val="20"/>
          <w:szCs w:val="20"/>
        </w:rPr>
        <w:t xml:space="preserve">Is ARGA the most appropriate body to undertake oversight and regulation of the actuarial profession? </w:t>
      </w:r>
    </w:p>
    <w:p w14:paraId="2C8114F3" w14:textId="77777777" w:rsidR="00DC2B2E" w:rsidRPr="00DC2B2E" w:rsidRDefault="00DC2B2E" w:rsidP="00DC2B2E">
      <w:pPr>
        <w:spacing w:after="0" w:line="240" w:lineRule="auto"/>
        <w:rPr>
          <w:rFonts w:ascii="Open Sans" w:hAnsi="Open Sans" w:cs="Open Sans"/>
          <w:sz w:val="20"/>
          <w:szCs w:val="20"/>
        </w:rPr>
      </w:pPr>
    </w:p>
    <w:p w14:paraId="6F0D6ECA" w14:textId="3C63AF22" w:rsidR="00DC2B2E" w:rsidRPr="00DC2B2E" w:rsidRDefault="00DC2B2E" w:rsidP="00DC2B2E">
      <w:pPr>
        <w:spacing w:after="0" w:line="240" w:lineRule="auto"/>
        <w:rPr>
          <w:rFonts w:ascii="Open Sans" w:hAnsi="Open Sans" w:cs="Open Sans"/>
          <w:sz w:val="20"/>
          <w:szCs w:val="20"/>
        </w:rPr>
      </w:pPr>
      <w:r w:rsidRPr="00DC2B2E">
        <w:rPr>
          <w:rFonts w:ascii="Open Sans" w:hAnsi="Open Sans" w:cs="Open Sans"/>
          <w:sz w:val="20"/>
          <w:szCs w:val="20"/>
        </w:rPr>
        <w:t xml:space="preserve">As ARGA is replacing </w:t>
      </w:r>
      <w:r w:rsidR="00A93A78">
        <w:rPr>
          <w:rFonts w:ascii="Open Sans" w:hAnsi="Open Sans" w:cs="Open Sans"/>
          <w:sz w:val="20"/>
          <w:szCs w:val="20"/>
        </w:rPr>
        <w:t xml:space="preserve">the </w:t>
      </w:r>
      <w:r w:rsidRPr="00DC2B2E">
        <w:rPr>
          <w:rFonts w:ascii="Open Sans" w:hAnsi="Open Sans" w:cs="Open Sans"/>
          <w:sz w:val="20"/>
          <w:szCs w:val="20"/>
        </w:rPr>
        <w:t xml:space="preserve">FRC, we consider it appropriate that ARGA undertakes the oversight and regulation of the actuarial profession that was previously carried out by the FRC.  </w:t>
      </w:r>
    </w:p>
    <w:p w14:paraId="71602448" w14:textId="77777777" w:rsidR="00DC2B2E" w:rsidRPr="00DC2B2E" w:rsidRDefault="00DC2B2E" w:rsidP="00DC2B2E">
      <w:pPr>
        <w:spacing w:after="0" w:line="240" w:lineRule="auto"/>
        <w:rPr>
          <w:rFonts w:ascii="Open Sans" w:hAnsi="Open Sans" w:cs="Open Sans"/>
          <w:sz w:val="20"/>
          <w:szCs w:val="20"/>
        </w:rPr>
      </w:pPr>
    </w:p>
    <w:p w14:paraId="105CC363" w14:textId="3E5D08D1" w:rsidR="00DC2B2E" w:rsidRPr="00DC2B2E" w:rsidRDefault="00DC2B2E" w:rsidP="00DC2B2E">
      <w:pPr>
        <w:spacing w:after="0" w:line="240" w:lineRule="auto"/>
        <w:rPr>
          <w:rFonts w:ascii="Open Sans" w:hAnsi="Open Sans" w:cs="Open Sans"/>
          <w:b/>
          <w:i/>
          <w:sz w:val="20"/>
          <w:szCs w:val="20"/>
        </w:rPr>
      </w:pPr>
      <w:r w:rsidRPr="00DC2B2E">
        <w:rPr>
          <w:rFonts w:ascii="Open Sans" w:hAnsi="Open Sans" w:cs="Open Sans"/>
          <w:b/>
          <w:i/>
          <w:sz w:val="20"/>
          <w:szCs w:val="20"/>
        </w:rPr>
        <w:t>8</w:t>
      </w:r>
      <w:r w:rsidR="00F31CA7" w:rsidRPr="00527C56">
        <w:rPr>
          <w:rFonts w:ascii="Open Sans" w:hAnsi="Open Sans" w:cs="Open Sans"/>
          <w:b/>
          <w:i/>
          <w:sz w:val="20"/>
          <w:szCs w:val="20"/>
        </w:rPr>
        <w:t xml:space="preserve">1. </w:t>
      </w:r>
      <w:r w:rsidRPr="00DC2B2E">
        <w:rPr>
          <w:rFonts w:ascii="Open Sans" w:hAnsi="Open Sans" w:cs="Open Sans"/>
          <w:b/>
          <w:i/>
          <w:sz w:val="20"/>
          <w:szCs w:val="20"/>
        </w:rPr>
        <w:t>Should the regime for overseeing and regulating the actuarial profession be placed on a strengthened and statutory basis?</w:t>
      </w:r>
      <w:bookmarkStart w:id="0" w:name="_GoBack"/>
      <w:bookmarkEnd w:id="0"/>
    </w:p>
    <w:p w14:paraId="51C06FBA" w14:textId="77777777" w:rsidR="00DC2B2E" w:rsidRPr="00DC2B2E" w:rsidRDefault="00DC2B2E" w:rsidP="00DC2B2E">
      <w:pPr>
        <w:spacing w:after="0" w:line="240" w:lineRule="auto"/>
        <w:rPr>
          <w:rFonts w:ascii="Open Sans" w:hAnsi="Open Sans" w:cs="Open Sans"/>
          <w:b/>
          <w:i/>
          <w:sz w:val="20"/>
          <w:szCs w:val="20"/>
        </w:rPr>
      </w:pPr>
    </w:p>
    <w:p w14:paraId="5E8B0657" w14:textId="77777777" w:rsidR="00DC2B2E" w:rsidRPr="00DC2B2E" w:rsidRDefault="00DC2B2E" w:rsidP="00DC2B2E">
      <w:pPr>
        <w:spacing w:after="0" w:line="240" w:lineRule="auto"/>
        <w:rPr>
          <w:rFonts w:ascii="Open Sans" w:hAnsi="Open Sans" w:cs="Open Sans"/>
          <w:sz w:val="20"/>
          <w:szCs w:val="20"/>
        </w:rPr>
      </w:pPr>
      <w:r w:rsidRPr="00DC2B2E">
        <w:rPr>
          <w:rFonts w:ascii="Open Sans" w:hAnsi="Open Sans" w:cs="Open Sans"/>
          <w:sz w:val="20"/>
          <w:szCs w:val="20"/>
        </w:rPr>
        <w:t xml:space="preserve">We do not consider that there is a compelling case for the regulation of the actuarial profession to be strengthened.  However, we do not object to the introduction of a statutory basis if it brings the regulation of the actuarial profession in line with the regulation of other professionals (e.g. lawyers and accountants). </w:t>
      </w:r>
    </w:p>
    <w:p w14:paraId="167F144B" w14:textId="77777777" w:rsidR="00DC2B2E" w:rsidRPr="00DC2B2E" w:rsidRDefault="00DC2B2E" w:rsidP="00DC2B2E">
      <w:pPr>
        <w:spacing w:after="0" w:line="240" w:lineRule="auto"/>
        <w:rPr>
          <w:rFonts w:ascii="Open Sans" w:hAnsi="Open Sans" w:cs="Open Sans"/>
          <w:sz w:val="20"/>
          <w:szCs w:val="20"/>
        </w:rPr>
      </w:pPr>
    </w:p>
    <w:p w14:paraId="243A4F2C" w14:textId="3B12BA1B" w:rsidR="00DC2B2E" w:rsidRPr="00DC2B2E" w:rsidRDefault="00DC2B2E" w:rsidP="00DC2B2E">
      <w:pPr>
        <w:spacing w:after="0" w:line="240" w:lineRule="auto"/>
        <w:rPr>
          <w:rFonts w:ascii="Open Sans" w:hAnsi="Open Sans" w:cs="Open Sans"/>
          <w:b/>
          <w:i/>
          <w:sz w:val="20"/>
          <w:szCs w:val="20"/>
        </w:rPr>
      </w:pPr>
      <w:r w:rsidRPr="00DC2B2E">
        <w:rPr>
          <w:rFonts w:ascii="Open Sans" w:hAnsi="Open Sans" w:cs="Open Sans"/>
          <w:b/>
          <w:i/>
          <w:sz w:val="20"/>
          <w:szCs w:val="20"/>
        </w:rPr>
        <w:t>82.</w:t>
      </w:r>
      <w:r w:rsidR="00527C56" w:rsidRPr="00527C56">
        <w:rPr>
          <w:rFonts w:ascii="Open Sans" w:hAnsi="Open Sans" w:cs="Open Sans"/>
          <w:b/>
          <w:i/>
          <w:sz w:val="20"/>
          <w:szCs w:val="20"/>
        </w:rPr>
        <w:t xml:space="preserve"> </w:t>
      </w:r>
      <w:r w:rsidRPr="00DC2B2E">
        <w:rPr>
          <w:rFonts w:ascii="Open Sans" w:hAnsi="Open Sans" w:cs="Open Sans"/>
          <w:b/>
          <w:i/>
          <w:sz w:val="20"/>
          <w:szCs w:val="20"/>
        </w:rPr>
        <w:t xml:space="preserve">Do respondents support the proposed principles for the regulation of the actuarial profession? Respondents are invited to suggest additional principles. </w:t>
      </w:r>
    </w:p>
    <w:p w14:paraId="6BFC2139" w14:textId="77777777" w:rsidR="00DC2B2E" w:rsidRPr="00DC2B2E" w:rsidRDefault="00DC2B2E" w:rsidP="00DC2B2E">
      <w:pPr>
        <w:spacing w:after="0" w:line="240" w:lineRule="auto"/>
        <w:rPr>
          <w:rFonts w:ascii="Open Sans" w:hAnsi="Open Sans" w:cs="Open Sans"/>
          <w:sz w:val="20"/>
          <w:szCs w:val="20"/>
        </w:rPr>
      </w:pPr>
    </w:p>
    <w:p w14:paraId="42938A88" w14:textId="77777777" w:rsidR="00DC2B2E" w:rsidRPr="00DC2B2E" w:rsidRDefault="00DC2B2E" w:rsidP="00DC2B2E">
      <w:pPr>
        <w:spacing w:after="0" w:line="240" w:lineRule="auto"/>
        <w:rPr>
          <w:rFonts w:ascii="Open Sans" w:hAnsi="Open Sans" w:cs="Open Sans"/>
          <w:sz w:val="20"/>
          <w:szCs w:val="20"/>
        </w:rPr>
      </w:pPr>
      <w:r w:rsidRPr="00DC2B2E">
        <w:rPr>
          <w:rFonts w:ascii="Open Sans" w:hAnsi="Open Sans" w:cs="Open Sans"/>
          <w:sz w:val="20"/>
          <w:szCs w:val="20"/>
        </w:rPr>
        <w:t xml:space="preserve">We support the proposed principles for the regulation of the actuarial profession and consider them to be comprehensive.  However, we would suggest that the practical implementation of the proposals should be given equal weight.  </w:t>
      </w:r>
    </w:p>
    <w:p w14:paraId="313662F1" w14:textId="77777777" w:rsidR="00DC2B2E" w:rsidRPr="00DC2B2E" w:rsidRDefault="00DC2B2E" w:rsidP="00DC2B2E">
      <w:pPr>
        <w:spacing w:after="0" w:line="240" w:lineRule="auto"/>
        <w:rPr>
          <w:rFonts w:ascii="Open Sans" w:hAnsi="Open Sans" w:cs="Open Sans"/>
          <w:sz w:val="20"/>
          <w:szCs w:val="20"/>
        </w:rPr>
      </w:pPr>
    </w:p>
    <w:p w14:paraId="0E7E81BC" w14:textId="39F22C59" w:rsidR="00DC2B2E" w:rsidRPr="00DC2B2E" w:rsidRDefault="00DC2B2E" w:rsidP="00DC2B2E">
      <w:pPr>
        <w:spacing w:after="0" w:line="240" w:lineRule="auto"/>
        <w:rPr>
          <w:rFonts w:ascii="Open Sans" w:hAnsi="Open Sans" w:cs="Open Sans"/>
          <w:sz w:val="20"/>
          <w:szCs w:val="20"/>
        </w:rPr>
      </w:pPr>
      <w:r w:rsidRPr="00DC2B2E">
        <w:rPr>
          <w:rFonts w:ascii="Open Sans" w:hAnsi="Open Sans" w:cs="Open Sans"/>
          <w:sz w:val="20"/>
          <w:szCs w:val="20"/>
        </w:rPr>
        <w:t>While we are not suggesting any other principles to be formally added</w:t>
      </w:r>
      <w:r w:rsidR="000C7B62">
        <w:rPr>
          <w:rFonts w:ascii="Open Sans" w:hAnsi="Open Sans" w:cs="Open Sans"/>
          <w:sz w:val="20"/>
          <w:szCs w:val="20"/>
        </w:rPr>
        <w:t>,</w:t>
      </w:r>
      <w:r w:rsidRPr="00DC2B2E">
        <w:rPr>
          <w:rFonts w:ascii="Open Sans" w:hAnsi="Open Sans" w:cs="Open Sans"/>
          <w:sz w:val="20"/>
          <w:szCs w:val="20"/>
        </w:rPr>
        <w:t xml:space="preserve"> we would recommend that the</w:t>
      </w:r>
      <w:r w:rsidR="000C7B62">
        <w:rPr>
          <w:rFonts w:ascii="Open Sans" w:hAnsi="Open Sans" w:cs="Open Sans"/>
          <w:sz w:val="20"/>
          <w:szCs w:val="20"/>
        </w:rPr>
        <w:t xml:space="preserve"> Institute and Faculty of Actuaries’ (I</w:t>
      </w:r>
      <w:r w:rsidRPr="00DC2B2E">
        <w:rPr>
          <w:rFonts w:ascii="Open Sans" w:hAnsi="Open Sans" w:cs="Open Sans"/>
          <w:sz w:val="20"/>
          <w:szCs w:val="20"/>
        </w:rPr>
        <w:t>FoA</w:t>
      </w:r>
      <w:r w:rsidR="000C7B62">
        <w:rPr>
          <w:rFonts w:ascii="Open Sans" w:hAnsi="Open Sans" w:cs="Open Sans"/>
          <w:sz w:val="20"/>
          <w:szCs w:val="20"/>
        </w:rPr>
        <w:t>)</w:t>
      </w:r>
      <w:r w:rsidRPr="00DC2B2E">
        <w:rPr>
          <w:rFonts w:ascii="Open Sans" w:hAnsi="Open Sans" w:cs="Open Sans"/>
          <w:sz w:val="20"/>
          <w:szCs w:val="20"/>
        </w:rPr>
        <w:t xml:space="preserve"> previous experience should be recognised and where appropriate ARGA collaborates with this body. </w:t>
      </w:r>
    </w:p>
    <w:p w14:paraId="2643B608" w14:textId="77777777" w:rsidR="00DC2B2E" w:rsidRPr="00DC2B2E" w:rsidRDefault="00DC2B2E" w:rsidP="00DC2B2E">
      <w:pPr>
        <w:spacing w:after="0" w:line="240" w:lineRule="auto"/>
        <w:rPr>
          <w:rFonts w:ascii="Open Sans" w:hAnsi="Open Sans" w:cs="Open Sans"/>
          <w:sz w:val="20"/>
          <w:szCs w:val="20"/>
        </w:rPr>
      </w:pPr>
    </w:p>
    <w:p w14:paraId="0EAB153F" w14:textId="0A355536" w:rsidR="00DC2B2E" w:rsidRPr="00DC2B2E" w:rsidRDefault="00DC2B2E" w:rsidP="00DC2B2E">
      <w:pPr>
        <w:spacing w:after="0" w:line="240" w:lineRule="auto"/>
        <w:rPr>
          <w:rFonts w:ascii="Open Sans" w:hAnsi="Open Sans" w:cs="Open Sans"/>
          <w:b/>
          <w:i/>
          <w:sz w:val="20"/>
          <w:szCs w:val="20"/>
        </w:rPr>
      </w:pPr>
      <w:r w:rsidRPr="00DC2B2E">
        <w:rPr>
          <w:rFonts w:ascii="Open Sans" w:hAnsi="Open Sans" w:cs="Open Sans"/>
          <w:b/>
          <w:i/>
          <w:sz w:val="20"/>
          <w:szCs w:val="20"/>
        </w:rPr>
        <w:t>83.</w:t>
      </w:r>
      <w:r w:rsidR="00527C56" w:rsidRPr="00527C56">
        <w:rPr>
          <w:rFonts w:ascii="Open Sans" w:hAnsi="Open Sans" w:cs="Open Sans"/>
          <w:b/>
          <w:i/>
          <w:sz w:val="20"/>
          <w:szCs w:val="20"/>
        </w:rPr>
        <w:t xml:space="preserve"> </w:t>
      </w:r>
      <w:r w:rsidRPr="00DC2B2E">
        <w:rPr>
          <w:rFonts w:ascii="Open Sans" w:hAnsi="Open Sans" w:cs="Open Sans"/>
          <w:b/>
          <w:i/>
          <w:sz w:val="20"/>
          <w:szCs w:val="20"/>
        </w:rPr>
        <w:t xml:space="preserve">Are the proposed statutory roles and responsibilities for the regulator appropriate? Are any additional roles or responsibilities appropriate for the regulator? </w:t>
      </w:r>
    </w:p>
    <w:p w14:paraId="545AB82D" w14:textId="77777777" w:rsidR="00DC2B2E" w:rsidRPr="00DC2B2E" w:rsidRDefault="00DC2B2E" w:rsidP="00DC2B2E">
      <w:pPr>
        <w:spacing w:after="0" w:line="240" w:lineRule="auto"/>
        <w:rPr>
          <w:rFonts w:ascii="Open Sans" w:hAnsi="Open Sans" w:cs="Open Sans"/>
          <w:sz w:val="20"/>
          <w:szCs w:val="20"/>
        </w:rPr>
      </w:pPr>
    </w:p>
    <w:p w14:paraId="37586938" w14:textId="77777777" w:rsidR="00DC2B2E" w:rsidRPr="00DC2B2E" w:rsidRDefault="00DC2B2E" w:rsidP="00DC2B2E">
      <w:pPr>
        <w:spacing w:after="0" w:line="240" w:lineRule="auto"/>
        <w:rPr>
          <w:rFonts w:ascii="Open Sans" w:hAnsi="Open Sans" w:cs="Open Sans"/>
          <w:sz w:val="20"/>
          <w:szCs w:val="20"/>
        </w:rPr>
      </w:pPr>
      <w:r w:rsidRPr="00DC2B2E">
        <w:rPr>
          <w:rFonts w:ascii="Open Sans" w:hAnsi="Open Sans" w:cs="Open Sans"/>
          <w:sz w:val="20"/>
          <w:szCs w:val="20"/>
        </w:rPr>
        <w:t xml:space="preserve">We consider the statutory roles and responsibilities for the regulator to be appropriate. As outlined above we do not see a compelling argument for the technical standards to be legally binding. </w:t>
      </w:r>
    </w:p>
    <w:p w14:paraId="55C95F23" w14:textId="77777777" w:rsidR="00DC2B2E" w:rsidRPr="00DC2B2E" w:rsidRDefault="00DC2B2E" w:rsidP="00DC2B2E">
      <w:pPr>
        <w:spacing w:after="0" w:line="240" w:lineRule="auto"/>
        <w:rPr>
          <w:rFonts w:ascii="Open Sans" w:hAnsi="Open Sans" w:cs="Open Sans"/>
          <w:sz w:val="20"/>
          <w:szCs w:val="20"/>
        </w:rPr>
      </w:pPr>
    </w:p>
    <w:p w14:paraId="29539ABB" w14:textId="77777777" w:rsidR="00DC2B2E" w:rsidRPr="00DC2B2E" w:rsidRDefault="00DC2B2E" w:rsidP="00DC2B2E">
      <w:pPr>
        <w:spacing w:after="0" w:line="240" w:lineRule="auto"/>
        <w:rPr>
          <w:rFonts w:ascii="Open Sans" w:hAnsi="Open Sans" w:cs="Open Sans"/>
          <w:sz w:val="20"/>
          <w:szCs w:val="20"/>
        </w:rPr>
      </w:pPr>
      <w:r w:rsidRPr="00DC2B2E">
        <w:rPr>
          <w:rFonts w:ascii="Open Sans" w:hAnsi="Open Sans" w:cs="Open Sans"/>
          <w:sz w:val="20"/>
          <w:szCs w:val="20"/>
        </w:rPr>
        <w:t xml:space="preserve">This is primarily because there is already a strong incentive to comply (where appropriate), as falling short of professional standards can lead to disciplinary action, which in turn can lead to being removed from the profession altogether.  </w:t>
      </w:r>
    </w:p>
    <w:p w14:paraId="0763C9AF" w14:textId="77777777" w:rsidR="00DC2B2E" w:rsidRPr="00DC2B2E" w:rsidRDefault="00DC2B2E" w:rsidP="00DC2B2E">
      <w:pPr>
        <w:spacing w:after="0" w:line="240" w:lineRule="auto"/>
        <w:rPr>
          <w:rFonts w:ascii="Open Sans" w:hAnsi="Open Sans" w:cs="Open Sans"/>
          <w:sz w:val="20"/>
          <w:szCs w:val="20"/>
        </w:rPr>
      </w:pPr>
    </w:p>
    <w:p w14:paraId="1A3CF892" w14:textId="645ACB47" w:rsidR="00DC2B2E" w:rsidRPr="00DC2B2E" w:rsidRDefault="00DC2B2E" w:rsidP="00DC2B2E">
      <w:pPr>
        <w:spacing w:after="0" w:line="240" w:lineRule="auto"/>
        <w:rPr>
          <w:rFonts w:ascii="Open Sans" w:hAnsi="Open Sans" w:cs="Open Sans"/>
          <w:b/>
          <w:i/>
          <w:sz w:val="20"/>
          <w:szCs w:val="20"/>
        </w:rPr>
      </w:pPr>
      <w:r w:rsidRPr="00DC2B2E">
        <w:rPr>
          <w:rFonts w:ascii="Open Sans" w:hAnsi="Open Sans" w:cs="Open Sans"/>
          <w:b/>
          <w:i/>
          <w:sz w:val="20"/>
          <w:szCs w:val="20"/>
        </w:rPr>
        <w:t>84.</w:t>
      </w:r>
      <w:r w:rsidR="00527C56" w:rsidRPr="00527C56">
        <w:rPr>
          <w:rFonts w:ascii="Open Sans" w:hAnsi="Open Sans" w:cs="Open Sans"/>
          <w:b/>
          <w:i/>
          <w:sz w:val="20"/>
          <w:szCs w:val="20"/>
        </w:rPr>
        <w:t xml:space="preserve"> </w:t>
      </w:r>
      <w:r w:rsidRPr="00DC2B2E">
        <w:rPr>
          <w:rFonts w:ascii="Open Sans" w:hAnsi="Open Sans" w:cs="Open Sans"/>
          <w:b/>
          <w:i/>
          <w:sz w:val="20"/>
          <w:szCs w:val="20"/>
        </w:rPr>
        <w:t>Should the regulator continue to be responsible for setting technical standards? Should these standards be legally binding? Should the regulator be responsible for setting technical standards only?</w:t>
      </w:r>
    </w:p>
    <w:p w14:paraId="3018C325" w14:textId="77777777" w:rsidR="00DC2B2E" w:rsidRPr="00DC2B2E" w:rsidRDefault="00DC2B2E" w:rsidP="00DC2B2E">
      <w:pPr>
        <w:spacing w:after="0" w:line="240" w:lineRule="auto"/>
        <w:rPr>
          <w:rFonts w:ascii="Open Sans" w:hAnsi="Open Sans" w:cs="Open Sans"/>
          <w:sz w:val="20"/>
          <w:szCs w:val="20"/>
        </w:rPr>
      </w:pPr>
    </w:p>
    <w:p w14:paraId="41032E92" w14:textId="77777777" w:rsidR="00DC2B2E" w:rsidRPr="00DC2B2E" w:rsidRDefault="00DC2B2E" w:rsidP="00DC2B2E">
      <w:pPr>
        <w:spacing w:after="0" w:line="240" w:lineRule="auto"/>
        <w:rPr>
          <w:rFonts w:ascii="Open Sans" w:hAnsi="Open Sans" w:cs="Open Sans"/>
          <w:sz w:val="20"/>
          <w:szCs w:val="20"/>
        </w:rPr>
      </w:pPr>
      <w:r w:rsidRPr="00DC2B2E">
        <w:rPr>
          <w:rFonts w:ascii="Open Sans" w:hAnsi="Open Sans" w:cs="Open Sans"/>
          <w:sz w:val="20"/>
          <w:szCs w:val="20"/>
        </w:rPr>
        <w:t>We believe that the regulator should continue to be responsible for setting technical standards. Please see comments under question 83 in regards to whether they should be legally binding. We consider it appropriate for the regulator to have the necessary powers to do more than setting technical standards.</w:t>
      </w:r>
    </w:p>
    <w:p w14:paraId="321E5F7F" w14:textId="77777777" w:rsidR="00DC2B2E" w:rsidRPr="00DC2B2E" w:rsidRDefault="00DC2B2E" w:rsidP="00DC2B2E">
      <w:pPr>
        <w:spacing w:after="0" w:line="240" w:lineRule="auto"/>
        <w:rPr>
          <w:rFonts w:ascii="Open Sans" w:hAnsi="Open Sans" w:cs="Open Sans"/>
          <w:sz w:val="20"/>
          <w:szCs w:val="20"/>
        </w:rPr>
      </w:pPr>
    </w:p>
    <w:p w14:paraId="5242576A" w14:textId="7B0E0821" w:rsidR="00DC2B2E" w:rsidRPr="00DC2B2E" w:rsidRDefault="00DC2B2E" w:rsidP="00DC2B2E">
      <w:pPr>
        <w:spacing w:after="0" w:line="240" w:lineRule="auto"/>
        <w:rPr>
          <w:rFonts w:ascii="Open Sans" w:hAnsi="Open Sans" w:cs="Open Sans"/>
          <w:b/>
          <w:i/>
          <w:sz w:val="20"/>
          <w:szCs w:val="20"/>
        </w:rPr>
      </w:pPr>
      <w:r w:rsidRPr="00DC2B2E">
        <w:rPr>
          <w:rFonts w:ascii="Open Sans" w:hAnsi="Open Sans" w:cs="Open Sans"/>
          <w:b/>
          <w:i/>
          <w:sz w:val="20"/>
          <w:szCs w:val="20"/>
        </w:rPr>
        <w:t>85.</w:t>
      </w:r>
      <w:r w:rsidR="00527C56" w:rsidRPr="00527C56">
        <w:rPr>
          <w:rFonts w:ascii="Open Sans" w:hAnsi="Open Sans" w:cs="Open Sans"/>
          <w:b/>
          <w:i/>
          <w:sz w:val="20"/>
          <w:szCs w:val="20"/>
        </w:rPr>
        <w:t xml:space="preserve"> </w:t>
      </w:r>
      <w:r w:rsidRPr="00DC2B2E">
        <w:rPr>
          <w:rFonts w:ascii="Open Sans" w:hAnsi="Open Sans" w:cs="Open Sans"/>
          <w:b/>
          <w:i/>
          <w:sz w:val="20"/>
          <w:szCs w:val="20"/>
        </w:rPr>
        <w:t xml:space="preserve">Should the regulator be responsible for monitoring compliance with technical standards? Should it also consider compliance with ethical standards if necessary? </w:t>
      </w:r>
    </w:p>
    <w:p w14:paraId="562053E6" w14:textId="77777777" w:rsidR="00DC2B2E" w:rsidRPr="00DC2B2E" w:rsidRDefault="00DC2B2E" w:rsidP="00DC2B2E">
      <w:pPr>
        <w:spacing w:after="0" w:line="240" w:lineRule="auto"/>
        <w:rPr>
          <w:rFonts w:ascii="Open Sans" w:hAnsi="Open Sans" w:cs="Open Sans"/>
          <w:sz w:val="20"/>
          <w:szCs w:val="20"/>
        </w:rPr>
      </w:pPr>
    </w:p>
    <w:p w14:paraId="313F88F4" w14:textId="77777777" w:rsidR="00DC2B2E" w:rsidRPr="00DC2B2E" w:rsidRDefault="00DC2B2E" w:rsidP="00DC2B2E">
      <w:pPr>
        <w:spacing w:after="0" w:line="240" w:lineRule="auto"/>
        <w:rPr>
          <w:rFonts w:ascii="Open Sans" w:hAnsi="Open Sans" w:cs="Open Sans"/>
          <w:sz w:val="20"/>
          <w:szCs w:val="20"/>
        </w:rPr>
      </w:pPr>
      <w:r w:rsidRPr="00DC2B2E">
        <w:rPr>
          <w:rFonts w:ascii="Open Sans" w:hAnsi="Open Sans" w:cs="Open Sans"/>
          <w:sz w:val="20"/>
          <w:szCs w:val="20"/>
        </w:rPr>
        <w:t xml:space="preserve">We consider it appropriate for the regulator to monitor compliance with technical standards. This assumes that the regulator will have the appropriate expertise available in order to make proper judgements in regards to compliance under differing circumstances. </w:t>
      </w:r>
    </w:p>
    <w:p w14:paraId="6D75CFC8" w14:textId="77777777" w:rsidR="00DC2B2E" w:rsidRPr="00DC2B2E" w:rsidRDefault="00DC2B2E" w:rsidP="00DC2B2E">
      <w:pPr>
        <w:spacing w:after="0" w:line="240" w:lineRule="auto"/>
        <w:rPr>
          <w:rFonts w:ascii="Open Sans" w:hAnsi="Open Sans" w:cs="Open Sans"/>
          <w:sz w:val="20"/>
          <w:szCs w:val="20"/>
        </w:rPr>
      </w:pPr>
    </w:p>
    <w:p w14:paraId="5BB10F03" w14:textId="77777777" w:rsidR="00DC2B2E" w:rsidRPr="00DC2B2E" w:rsidRDefault="00DC2B2E" w:rsidP="00DC2B2E">
      <w:pPr>
        <w:spacing w:after="0" w:line="240" w:lineRule="auto"/>
        <w:rPr>
          <w:rFonts w:ascii="Open Sans" w:hAnsi="Open Sans" w:cs="Open Sans"/>
          <w:sz w:val="20"/>
          <w:szCs w:val="20"/>
        </w:rPr>
      </w:pPr>
      <w:r w:rsidRPr="00DC2B2E">
        <w:rPr>
          <w:rFonts w:ascii="Open Sans" w:hAnsi="Open Sans" w:cs="Open Sans"/>
          <w:sz w:val="20"/>
          <w:szCs w:val="20"/>
        </w:rPr>
        <w:t xml:space="preserve">We consider that the regulator should be involved in monitoring compliance with ethical standards where this is in the public interest. </w:t>
      </w:r>
    </w:p>
    <w:p w14:paraId="3299BA89" w14:textId="77777777" w:rsidR="00DC2B2E" w:rsidRPr="00DC2B2E" w:rsidRDefault="00DC2B2E" w:rsidP="00DC2B2E">
      <w:pPr>
        <w:spacing w:after="0" w:line="240" w:lineRule="auto"/>
        <w:rPr>
          <w:rFonts w:ascii="Open Sans" w:hAnsi="Open Sans" w:cs="Open Sans"/>
          <w:sz w:val="20"/>
          <w:szCs w:val="20"/>
        </w:rPr>
      </w:pPr>
    </w:p>
    <w:p w14:paraId="4E95E872" w14:textId="0A4458C4" w:rsidR="00DC2B2E" w:rsidRPr="00DC2B2E" w:rsidRDefault="00DC2B2E" w:rsidP="00DC2B2E">
      <w:pPr>
        <w:spacing w:after="0" w:line="240" w:lineRule="auto"/>
        <w:rPr>
          <w:rFonts w:ascii="Open Sans" w:hAnsi="Open Sans" w:cs="Open Sans"/>
          <w:b/>
          <w:i/>
          <w:sz w:val="20"/>
          <w:szCs w:val="20"/>
        </w:rPr>
      </w:pPr>
      <w:r w:rsidRPr="00DC2B2E">
        <w:rPr>
          <w:rFonts w:ascii="Open Sans" w:hAnsi="Open Sans" w:cs="Open Sans"/>
          <w:b/>
          <w:i/>
          <w:sz w:val="20"/>
          <w:szCs w:val="20"/>
        </w:rPr>
        <w:t>86.</w:t>
      </w:r>
      <w:r w:rsidR="00527C56" w:rsidRPr="00527C56">
        <w:rPr>
          <w:rFonts w:ascii="Open Sans" w:hAnsi="Open Sans" w:cs="Open Sans"/>
          <w:b/>
          <w:i/>
          <w:sz w:val="20"/>
          <w:szCs w:val="20"/>
        </w:rPr>
        <w:t xml:space="preserve"> </w:t>
      </w:r>
      <w:r w:rsidRPr="00DC2B2E">
        <w:rPr>
          <w:rFonts w:ascii="Open Sans" w:hAnsi="Open Sans" w:cs="Open Sans"/>
          <w:b/>
          <w:i/>
          <w:sz w:val="20"/>
          <w:szCs w:val="20"/>
        </w:rPr>
        <w:t xml:space="preserve">Should the regulator have the power to request that individuals provide their work in response to a formal request - and to compel them to do so if necessary? </w:t>
      </w:r>
    </w:p>
    <w:p w14:paraId="68032C9C" w14:textId="77777777" w:rsidR="00DC2B2E" w:rsidRPr="00DC2B2E" w:rsidRDefault="00DC2B2E" w:rsidP="00DC2B2E">
      <w:pPr>
        <w:spacing w:after="0" w:line="240" w:lineRule="auto"/>
        <w:rPr>
          <w:rFonts w:ascii="Open Sans" w:hAnsi="Open Sans" w:cs="Open Sans"/>
          <w:sz w:val="20"/>
          <w:szCs w:val="20"/>
        </w:rPr>
      </w:pPr>
    </w:p>
    <w:p w14:paraId="5CD35CA6" w14:textId="77777777" w:rsidR="00DC2B2E" w:rsidRPr="00DC2B2E" w:rsidRDefault="00DC2B2E" w:rsidP="00DC2B2E">
      <w:pPr>
        <w:spacing w:after="0" w:line="240" w:lineRule="auto"/>
        <w:rPr>
          <w:rFonts w:ascii="Open Sans" w:hAnsi="Open Sans" w:cs="Open Sans"/>
          <w:sz w:val="20"/>
          <w:szCs w:val="20"/>
        </w:rPr>
      </w:pPr>
      <w:bookmarkStart w:id="1" w:name="_Hlk76046575"/>
      <w:r w:rsidRPr="00DC2B2E">
        <w:rPr>
          <w:rFonts w:ascii="Open Sans" w:hAnsi="Open Sans" w:cs="Open Sans"/>
          <w:sz w:val="20"/>
          <w:szCs w:val="20"/>
        </w:rPr>
        <w:t xml:space="preserve">We believe the regulator should have the power </w:t>
      </w:r>
      <w:bookmarkEnd w:id="1"/>
      <w:r w:rsidRPr="00DC2B2E">
        <w:rPr>
          <w:rFonts w:ascii="Open Sans" w:hAnsi="Open Sans" w:cs="Open Sans"/>
          <w:sz w:val="20"/>
          <w:szCs w:val="20"/>
        </w:rPr>
        <w:t xml:space="preserve">to compel individuals to provide their work where this is clearly necessary in order to fulfil its remit.   </w:t>
      </w:r>
    </w:p>
    <w:p w14:paraId="33962F70" w14:textId="77777777" w:rsidR="00DC2B2E" w:rsidRPr="00DC2B2E" w:rsidRDefault="00DC2B2E" w:rsidP="00DC2B2E">
      <w:pPr>
        <w:spacing w:after="0" w:line="240" w:lineRule="auto"/>
        <w:rPr>
          <w:rFonts w:ascii="Open Sans" w:hAnsi="Open Sans" w:cs="Open Sans"/>
          <w:sz w:val="20"/>
          <w:szCs w:val="20"/>
        </w:rPr>
      </w:pPr>
    </w:p>
    <w:p w14:paraId="23A69B14" w14:textId="3763C9E0" w:rsidR="00DC2B2E" w:rsidRPr="00DC2B2E" w:rsidRDefault="00DC2B2E" w:rsidP="00DC2B2E">
      <w:pPr>
        <w:spacing w:after="0" w:line="240" w:lineRule="auto"/>
        <w:rPr>
          <w:rFonts w:ascii="Open Sans" w:hAnsi="Open Sans" w:cs="Open Sans"/>
          <w:b/>
          <w:i/>
          <w:sz w:val="20"/>
          <w:szCs w:val="20"/>
        </w:rPr>
      </w:pPr>
      <w:r w:rsidRPr="00DC2B2E">
        <w:rPr>
          <w:rFonts w:ascii="Open Sans" w:hAnsi="Open Sans" w:cs="Open Sans"/>
          <w:b/>
          <w:i/>
          <w:sz w:val="20"/>
          <w:szCs w:val="20"/>
        </w:rPr>
        <w:t>87.</w:t>
      </w:r>
      <w:r w:rsidR="00527C56" w:rsidRPr="00527C56">
        <w:rPr>
          <w:rFonts w:ascii="Open Sans" w:hAnsi="Open Sans" w:cs="Open Sans"/>
          <w:b/>
          <w:i/>
          <w:sz w:val="20"/>
          <w:szCs w:val="20"/>
        </w:rPr>
        <w:t xml:space="preserve"> </w:t>
      </w:r>
      <w:r w:rsidRPr="00DC2B2E">
        <w:rPr>
          <w:rFonts w:ascii="Open Sans" w:hAnsi="Open Sans" w:cs="Open Sans"/>
          <w:b/>
          <w:i/>
          <w:sz w:val="20"/>
          <w:szCs w:val="20"/>
        </w:rPr>
        <w:t xml:space="preserve">Should the regulator have the power to </w:t>
      </w:r>
      <w:bookmarkStart w:id="2" w:name="_Hlk76046579"/>
      <w:r w:rsidRPr="00DC2B2E">
        <w:rPr>
          <w:rFonts w:ascii="Open Sans" w:hAnsi="Open Sans" w:cs="Open Sans"/>
          <w:b/>
          <w:i/>
          <w:sz w:val="20"/>
          <w:szCs w:val="20"/>
        </w:rPr>
        <w:t>take appropriate action if work falls below the requirements of the technical standards</w:t>
      </w:r>
      <w:bookmarkEnd w:id="2"/>
      <w:r w:rsidRPr="00DC2B2E">
        <w:rPr>
          <w:rFonts w:ascii="Open Sans" w:hAnsi="Open Sans" w:cs="Open Sans"/>
          <w:b/>
          <w:i/>
          <w:sz w:val="20"/>
          <w:szCs w:val="20"/>
        </w:rPr>
        <w:t>? What powers should be available to the regulator in these instances?</w:t>
      </w:r>
    </w:p>
    <w:p w14:paraId="49981B5E" w14:textId="77777777" w:rsidR="00DC2B2E" w:rsidRPr="00DC2B2E" w:rsidRDefault="00DC2B2E" w:rsidP="00DC2B2E">
      <w:pPr>
        <w:spacing w:after="0" w:line="240" w:lineRule="auto"/>
        <w:rPr>
          <w:rFonts w:ascii="Open Sans" w:hAnsi="Open Sans" w:cs="Open Sans"/>
          <w:sz w:val="20"/>
          <w:szCs w:val="20"/>
        </w:rPr>
      </w:pPr>
    </w:p>
    <w:p w14:paraId="6B5EBB77" w14:textId="77777777" w:rsidR="00DC2B2E" w:rsidRPr="00DC2B2E" w:rsidRDefault="00DC2B2E" w:rsidP="00DC2B2E">
      <w:pPr>
        <w:spacing w:after="0" w:line="240" w:lineRule="auto"/>
        <w:rPr>
          <w:rFonts w:ascii="Open Sans" w:hAnsi="Open Sans" w:cs="Open Sans"/>
          <w:sz w:val="20"/>
          <w:szCs w:val="20"/>
        </w:rPr>
      </w:pPr>
      <w:r w:rsidRPr="00DC2B2E">
        <w:rPr>
          <w:rFonts w:ascii="Open Sans" w:hAnsi="Open Sans" w:cs="Open Sans"/>
          <w:sz w:val="20"/>
          <w:szCs w:val="20"/>
        </w:rPr>
        <w:t xml:space="preserve">We believe the regulator should have the power to take appropriate action if work falls below the requirements of the technical standards. These powers should include the power to demand that the work is reperformed, the power to more closely monitor the relevant organisation for a period of time after the act of non-compliance, and the power to set fines where the relevant organisation does not improve the quality of work to the appropriate standards during this period of enhanced observation.     </w:t>
      </w:r>
    </w:p>
    <w:p w14:paraId="2C4AA7A9" w14:textId="77777777" w:rsidR="00DC2B2E" w:rsidRPr="00DC2B2E" w:rsidRDefault="00DC2B2E" w:rsidP="00DC2B2E">
      <w:pPr>
        <w:spacing w:after="0" w:line="240" w:lineRule="auto"/>
        <w:rPr>
          <w:rFonts w:ascii="Open Sans" w:hAnsi="Open Sans" w:cs="Open Sans"/>
          <w:sz w:val="20"/>
          <w:szCs w:val="20"/>
        </w:rPr>
      </w:pPr>
    </w:p>
    <w:p w14:paraId="470ED9BB" w14:textId="4D7E8606" w:rsidR="00DC2B2E" w:rsidRPr="00DC2B2E" w:rsidRDefault="00DC2B2E" w:rsidP="00DC2B2E">
      <w:pPr>
        <w:spacing w:after="0" w:line="240" w:lineRule="auto"/>
        <w:rPr>
          <w:rFonts w:ascii="Open Sans" w:hAnsi="Open Sans" w:cs="Open Sans"/>
          <w:b/>
          <w:i/>
          <w:sz w:val="20"/>
          <w:szCs w:val="20"/>
        </w:rPr>
      </w:pPr>
      <w:r w:rsidRPr="00DC2B2E">
        <w:rPr>
          <w:rFonts w:ascii="Open Sans" w:hAnsi="Open Sans" w:cs="Open Sans"/>
          <w:b/>
          <w:i/>
          <w:sz w:val="20"/>
          <w:szCs w:val="20"/>
        </w:rPr>
        <w:t>88.</w:t>
      </w:r>
      <w:r w:rsidR="00527C56" w:rsidRPr="00527C56">
        <w:rPr>
          <w:rFonts w:ascii="Open Sans" w:hAnsi="Open Sans" w:cs="Open Sans"/>
          <w:b/>
          <w:i/>
          <w:sz w:val="20"/>
          <w:szCs w:val="20"/>
        </w:rPr>
        <w:t xml:space="preserve"> </w:t>
      </w:r>
      <w:r w:rsidRPr="00DC2B2E">
        <w:rPr>
          <w:rFonts w:ascii="Open Sans" w:hAnsi="Open Sans" w:cs="Open Sans"/>
          <w:b/>
          <w:i/>
          <w:sz w:val="20"/>
          <w:szCs w:val="20"/>
        </w:rPr>
        <w:t>Do respondents agree with the proposed scope for independent oversight of the IFoA? In which ways, if any, should the scope be amended?</w:t>
      </w:r>
    </w:p>
    <w:p w14:paraId="1FC3C4E2" w14:textId="77777777" w:rsidR="00DC2B2E" w:rsidRPr="00DC2B2E" w:rsidRDefault="00DC2B2E" w:rsidP="00DC2B2E">
      <w:pPr>
        <w:spacing w:after="0" w:line="240" w:lineRule="auto"/>
        <w:rPr>
          <w:rFonts w:ascii="Open Sans" w:hAnsi="Open Sans" w:cs="Open Sans"/>
          <w:sz w:val="20"/>
          <w:szCs w:val="20"/>
        </w:rPr>
      </w:pPr>
    </w:p>
    <w:p w14:paraId="3464E5CC" w14:textId="09E87F2E" w:rsidR="00DC2B2E" w:rsidRPr="00DC2B2E" w:rsidRDefault="00DC2B2E" w:rsidP="00DC2B2E">
      <w:pPr>
        <w:spacing w:after="0" w:line="240" w:lineRule="auto"/>
        <w:rPr>
          <w:rFonts w:ascii="Open Sans" w:hAnsi="Open Sans" w:cs="Open Sans"/>
          <w:sz w:val="20"/>
          <w:szCs w:val="20"/>
        </w:rPr>
      </w:pPr>
      <w:r w:rsidRPr="00DC2B2E">
        <w:rPr>
          <w:rFonts w:ascii="Open Sans" w:hAnsi="Open Sans" w:cs="Open Sans"/>
          <w:sz w:val="20"/>
          <w:szCs w:val="20"/>
        </w:rPr>
        <w:t>We agree with the proposed scope for independent oversight of the IFoA</w:t>
      </w:r>
      <w:r w:rsidR="00527C56">
        <w:rPr>
          <w:rFonts w:ascii="Open Sans" w:hAnsi="Open Sans" w:cs="Open Sans"/>
          <w:sz w:val="20"/>
          <w:szCs w:val="20"/>
        </w:rPr>
        <w:t>.</w:t>
      </w:r>
    </w:p>
    <w:p w14:paraId="1DD098D4" w14:textId="77777777" w:rsidR="00DC2B2E" w:rsidRPr="00DC2B2E" w:rsidRDefault="00DC2B2E" w:rsidP="00DC2B2E">
      <w:pPr>
        <w:spacing w:after="0" w:line="240" w:lineRule="auto"/>
        <w:rPr>
          <w:rFonts w:ascii="Open Sans" w:hAnsi="Open Sans" w:cs="Open Sans"/>
          <w:sz w:val="20"/>
          <w:szCs w:val="20"/>
        </w:rPr>
      </w:pPr>
    </w:p>
    <w:p w14:paraId="681D7781" w14:textId="77777777" w:rsidR="00527C56" w:rsidRDefault="00527C56" w:rsidP="00DC2B2E">
      <w:pPr>
        <w:spacing w:after="0" w:line="240" w:lineRule="auto"/>
        <w:rPr>
          <w:rFonts w:ascii="Open Sans" w:hAnsi="Open Sans" w:cs="Open Sans"/>
          <w:sz w:val="20"/>
          <w:szCs w:val="20"/>
        </w:rPr>
      </w:pPr>
    </w:p>
    <w:p w14:paraId="73129444" w14:textId="77777777" w:rsidR="000C7B62" w:rsidRDefault="000C7B62" w:rsidP="00DC2B2E">
      <w:pPr>
        <w:spacing w:after="0" w:line="240" w:lineRule="auto"/>
        <w:rPr>
          <w:rFonts w:ascii="Open Sans" w:hAnsi="Open Sans" w:cs="Open Sans"/>
          <w:b/>
          <w:i/>
          <w:sz w:val="20"/>
          <w:szCs w:val="20"/>
        </w:rPr>
      </w:pPr>
    </w:p>
    <w:p w14:paraId="6683CF0F" w14:textId="1A9C23B5" w:rsidR="00DC2B2E" w:rsidRPr="00DC2B2E" w:rsidRDefault="00DC2B2E" w:rsidP="00DC2B2E">
      <w:pPr>
        <w:spacing w:after="0" w:line="240" w:lineRule="auto"/>
        <w:rPr>
          <w:rFonts w:ascii="Open Sans" w:hAnsi="Open Sans" w:cs="Open Sans"/>
          <w:b/>
          <w:i/>
          <w:sz w:val="20"/>
          <w:szCs w:val="20"/>
        </w:rPr>
      </w:pPr>
      <w:r w:rsidRPr="00DC2B2E">
        <w:rPr>
          <w:rFonts w:ascii="Open Sans" w:hAnsi="Open Sans" w:cs="Open Sans"/>
          <w:b/>
          <w:i/>
          <w:sz w:val="20"/>
          <w:szCs w:val="20"/>
        </w:rPr>
        <w:t>89.</w:t>
      </w:r>
      <w:r w:rsidR="00527C56" w:rsidRPr="00527C56">
        <w:rPr>
          <w:rFonts w:ascii="Open Sans" w:hAnsi="Open Sans" w:cs="Open Sans"/>
          <w:b/>
          <w:i/>
          <w:sz w:val="20"/>
          <w:szCs w:val="20"/>
        </w:rPr>
        <w:t xml:space="preserve"> </w:t>
      </w:r>
      <w:r w:rsidRPr="00DC2B2E">
        <w:rPr>
          <w:rFonts w:ascii="Open Sans" w:hAnsi="Open Sans" w:cs="Open Sans"/>
          <w:b/>
          <w:i/>
          <w:sz w:val="20"/>
          <w:szCs w:val="20"/>
        </w:rPr>
        <w:t xml:space="preserve">Should the regulator’s oversight of the IFoA be placed on a statutory basis? What, if any, powers </w:t>
      </w:r>
      <w:proofErr w:type="gramStart"/>
      <w:r w:rsidRPr="00DC2B2E">
        <w:rPr>
          <w:rFonts w:ascii="Open Sans" w:hAnsi="Open Sans" w:cs="Open Sans"/>
          <w:b/>
          <w:i/>
          <w:sz w:val="20"/>
          <w:szCs w:val="20"/>
        </w:rPr>
        <w:t>does</w:t>
      </w:r>
      <w:proofErr w:type="gramEnd"/>
      <w:r w:rsidRPr="00DC2B2E">
        <w:rPr>
          <w:rFonts w:ascii="Open Sans" w:hAnsi="Open Sans" w:cs="Open Sans"/>
          <w:b/>
          <w:i/>
          <w:sz w:val="20"/>
          <w:szCs w:val="20"/>
        </w:rPr>
        <w:t xml:space="preserve"> the regulator require to effectively fulfil this role?</w:t>
      </w:r>
    </w:p>
    <w:p w14:paraId="69AB6EAE" w14:textId="77777777" w:rsidR="00DC2B2E" w:rsidRPr="00DC2B2E" w:rsidRDefault="00DC2B2E" w:rsidP="00DC2B2E">
      <w:pPr>
        <w:spacing w:after="0" w:line="240" w:lineRule="auto"/>
        <w:rPr>
          <w:rFonts w:ascii="Open Sans" w:hAnsi="Open Sans" w:cs="Open Sans"/>
          <w:b/>
          <w:i/>
          <w:sz w:val="20"/>
          <w:szCs w:val="20"/>
        </w:rPr>
      </w:pPr>
    </w:p>
    <w:p w14:paraId="70C1E931" w14:textId="77777777" w:rsidR="00DC2B2E" w:rsidRPr="00DC2B2E" w:rsidRDefault="00DC2B2E" w:rsidP="00DC2B2E">
      <w:pPr>
        <w:spacing w:after="0" w:line="240" w:lineRule="auto"/>
        <w:rPr>
          <w:rFonts w:ascii="Open Sans" w:hAnsi="Open Sans" w:cs="Open Sans"/>
          <w:sz w:val="20"/>
          <w:szCs w:val="20"/>
        </w:rPr>
      </w:pPr>
      <w:r w:rsidRPr="00DC2B2E">
        <w:rPr>
          <w:rFonts w:ascii="Open Sans" w:hAnsi="Open Sans" w:cs="Open Sans"/>
          <w:sz w:val="20"/>
          <w:szCs w:val="20"/>
        </w:rPr>
        <w:t>We do not believe that there is a compelling case for the regulator’s oversight of the IFoA to be placed on a statutory basis. However, we do not object to the introduction of a statutory basis if it brings the regulation of the actuarial profession in line with the regulation of other professionals (e.g. lawyers, accountants).</w:t>
      </w:r>
    </w:p>
    <w:p w14:paraId="5A1BF0CA" w14:textId="77777777" w:rsidR="00DC2B2E" w:rsidRPr="00DC2B2E" w:rsidRDefault="00DC2B2E" w:rsidP="00DC2B2E">
      <w:pPr>
        <w:spacing w:after="0" w:line="240" w:lineRule="auto"/>
        <w:rPr>
          <w:rFonts w:ascii="Open Sans" w:hAnsi="Open Sans" w:cs="Open Sans"/>
          <w:sz w:val="20"/>
          <w:szCs w:val="20"/>
        </w:rPr>
      </w:pPr>
    </w:p>
    <w:p w14:paraId="7CF1561D" w14:textId="71608889" w:rsidR="00DC2B2E" w:rsidRPr="00DC2B2E" w:rsidRDefault="00DC2B2E" w:rsidP="00DC2B2E">
      <w:pPr>
        <w:spacing w:after="0" w:line="240" w:lineRule="auto"/>
        <w:rPr>
          <w:rFonts w:ascii="Open Sans" w:hAnsi="Open Sans" w:cs="Open Sans"/>
          <w:b/>
          <w:i/>
          <w:sz w:val="20"/>
          <w:szCs w:val="20"/>
        </w:rPr>
      </w:pPr>
      <w:r w:rsidRPr="00DC2B2E">
        <w:rPr>
          <w:rFonts w:ascii="Open Sans" w:hAnsi="Open Sans" w:cs="Open Sans"/>
          <w:b/>
          <w:i/>
          <w:sz w:val="20"/>
          <w:szCs w:val="20"/>
        </w:rPr>
        <w:t>90.</w:t>
      </w:r>
      <w:r w:rsidR="00527C56" w:rsidRPr="00527C56">
        <w:rPr>
          <w:rFonts w:ascii="Open Sans" w:hAnsi="Open Sans" w:cs="Open Sans"/>
          <w:b/>
          <w:i/>
          <w:sz w:val="20"/>
          <w:szCs w:val="20"/>
        </w:rPr>
        <w:t xml:space="preserve"> </w:t>
      </w:r>
      <w:r w:rsidRPr="00DC2B2E">
        <w:rPr>
          <w:rFonts w:ascii="Open Sans" w:hAnsi="Open Sans" w:cs="Open Sans"/>
          <w:b/>
          <w:i/>
          <w:sz w:val="20"/>
          <w:szCs w:val="20"/>
        </w:rPr>
        <w:t xml:space="preserve">Does the current investigation and discipline regime remain appropriate? Should it be placed on a statutory basis? What, if any, additional powers </w:t>
      </w:r>
      <w:proofErr w:type="gramStart"/>
      <w:r w:rsidRPr="00DC2B2E">
        <w:rPr>
          <w:rFonts w:ascii="Open Sans" w:hAnsi="Open Sans" w:cs="Open Sans"/>
          <w:b/>
          <w:i/>
          <w:sz w:val="20"/>
          <w:szCs w:val="20"/>
        </w:rPr>
        <w:t>does</w:t>
      </w:r>
      <w:proofErr w:type="gramEnd"/>
      <w:r w:rsidRPr="00DC2B2E">
        <w:rPr>
          <w:rFonts w:ascii="Open Sans" w:hAnsi="Open Sans" w:cs="Open Sans"/>
          <w:b/>
          <w:i/>
          <w:sz w:val="20"/>
          <w:szCs w:val="20"/>
        </w:rPr>
        <w:t xml:space="preserve"> the regulator require to fulfil this role?</w:t>
      </w:r>
    </w:p>
    <w:p w14:paraId="5181837B" w14:textId="77777777" w:rsidR="00DC2B2E" w:rsidRPr="00DC2B2E" w:rsidRDefault="00DC2B2E" w:rsidP="00DC2B2E">
      <w:pPr>
        <w:spacing w:after="0" w:line="240" w:lineRule="auto"/>
        <w:rPr>
          <w:rFonts w:ascii="Open Sans" w:hAnsi="Open Sans" w:cs="Open Sans"/>
          <w:sz w:val="20"/>
          <w:szCs w:val="20"/>
        </w:rPr>
      </w:pPr>
    </w:p>
    <w:p w14:paraId="709DE3B7" w14:textId="77777777" w:rsidR="00DC2B2E" w:rsidRPr="00DC2B2E" w:rsidRDefault="00DC2B2E" w:rsidP="00DC2B2E">
      <w:pPr>
        <w:spacing w:after="0" w:line="240" w:lineRule="auto"/>
        <w:rPr>
          <w:rFonts w:ascii="Open Sans" w:hAnsi="Open Sans" w:cs="Open Sans"/>
          <w:sz w:val="20"/>
          <w:szCs w:val="20"/>
        </w:rPr>
      </w:pPr>
      <w:r w:rsidRPr="00DC2B2E">
        <w:rPr>
          <w:rFonts w:ascii="Open Sans" w:hAnsi="Open Sans" w:cs="Open Sans"/>
          <w:sz w:val="20"/>
          <w:szCs w:val="20"/>
        </w:rPr>
        <w:t>We believe the current investigation and discipline regime remains appropriate. If other aspects of the regulator’s role are being placed on a statutory basis, it is appropriate that this aspect is also on the same basis. Similar powers to those included in our responses to questions 86 &amp; 87 would be required.</w:t>
      </w:r>
    </w:p>
    <w:p w14:paraId="7435E21B" w14:textId="77777777" w:rsidR="00DC2B2E" w:rsidRPr="00DC2B2E" w:rsidRDefault="00DC2B2E" w:rsidP="00DC2B2E">
      <w:pPr>
        <w:spacing w:after="0" w:line="240" w:lineRule="auto"/>
        <w:rPr>
          <w:rFonts w:ascii="Open Sans" w:hAnsi="Open Sans" w:cs="Open Sans"/>
          <w:sz w:val="20"/>
          <w:szCs w:val="20"/>
        </w:rPr>
      </w:pPr>
    </w:p>
    <w:p w14:paraId="5230251C" w14:textId="4A712335" w:rsidR="00DC2B2E" w:rsidRPr="00DC2B2E" w:rsidRDefault="00DC2B2E" w:rsidP="00DC2B2E">
      <w:pPr>
        <w:spacing w:after="0" w:line="240" w:lineRule="auto"/>
        <w:rPr>
          <w:rFonts w:ascii="Open Sans" w:hAnsi="Open Sans" w:cs="Open Sans"/>
          <w:b/>
          <w:i/>
          <w:sz w:val="20"/>
          <w:szCs w:val="20"/>
        </w:rPr>
      </w:pPr>
      <w:r w:rsidRPr="00DC2B2E">
        <w:rPr>
          <w:rFonts w:ascii="Open Sans" w:hAnsi="Open Sans" w:cs="Open Sans"/>
          <w:b/>
          <w:i/>
          <w:sz w:val="20"/>
          <w:szCs w:val="20"/>
        </w:rPr>
        <w:t>91.</w:t>
      </w:r>
      <w:r w:rsidR="00527C56" w:rsidRPr="00527C56">
        <w:rPr>
          <w:rFonts w:ascii="Open Sans" w:hAnsi="Open Sans" w:cs="Open Sans"/>
          <w:b/>
          <w:i/>
          <w:sz w:val="20"/>
          <w:szCs w:val="20"/>
        </w:rPr>
        <w:t xml:space="preserve"> </w:t>
      </w:r>
      <w:r w:rsidRPr="00DC2B2E">
        <w:rPr>
          <w:rFonts w:ascii="Open Sans" w:hAnsi="Open Sans" w:cs="Open Sans"/>
          <w:b/>
          <w:i/>
          <w:sz w:val="20"/>
          <w:szCs w:val="20"/>
        </w:rPr>
        <w:t xml:space="preserve">Do respondents think that the regulator’s remit should be extended to actuarial work undertaken by entities? What would be the appropriate features of such a regime, including the appropriate enforcement powers for the regulator? </w:t>
      </w:r>
    </w:p>
    <w:p w14:paraId="1C0C9464" w14:textId="77777777" w:rsidR="00DC2B2E" w:rsidRPr="00DC2B2E" w:rsidRDefault="00DC2B2E" w:rsidP="00DC2B2E">
      <w:pPr>
        <w:spacing w:after="0" w:line="240" w:lineRule="auto"/>
        <w:rPr>
          <w:rFonts w:ascii="Open Sans" w:hAnsi="Open Sans" w:cs="Open Sans"/>
          <w:sz w:val="20"/>
          <w:szCs w:val="20"/>
        </w:rPr>
      </w:pPr>
    </w:p>
    <w:p w14:paraId="29A5856A" w14:textId="77777777" w:rsidR="00DC2B2E" w:rsidRPr="00DC2B2E" w:rsidRDefault="00DC2B2E" w:rsidP="00DC2B2E">
      <w:pPr>
        <w:spacing w:after="0" w:line="240" w:lineRule="auto"/>
        <w:rPr>
          <w:rFonts w:ascii="Open Sans" w:hAnsi="Open Sans" w:cs="Open Sans"/>
          <w:sz w:val="20"/>
          <w:szCs w:val="20"/>
        </w:rPr>
      </w:pPr>
      <w:r w:rsidRPr="00DC2B2E">
        <w:rPr>
          <w:rFonts w:ascii="Open Sans" w:hAnsi="Open Sans" w:cs="Open Sans"/>
          <w:sz w:val="20"/>
          <w:szCs w:val="20"/>
        </w:rPr>
        <w:t xml:space="preserve">We believe that the regulator’s remit should be extended to actuarial work undertaken by entities and that it should broadly mirror the regulation of individuals. </w:t>
      </w:r>
    </w:p>
    <w:p w14:paraId="4DFBF91E" w14:textId="77777777" w:rsidR="00DC2B2E" w:rsidRPr="00DC2B2E" w:rsidRDefault="00DC2B2E" w:rsidP="00DC2B2E">
      <w:pPr>
        <w:spacing w:after="0" w:line="240" w:lineRule="auto"/>
        <w:rPr>
          <w:rFonts w:ascii="Open Sans" w:hAnsi="Open Sans" w:cs="Open Sans"/>
          <w:sz w:val="20"/>
          <w:szCs w:val="20"/>
        </w:rPr>
      </w:pPr>
    </w:p>
    <w:p w14:paraId="5690C3EC" w14:textId="2CE0E2FF" w:rsidR="00DC2B2E" w:rsidRPr="00DC2B2E" w:rsidRDefault="00DC2B2E" w:rsidP="00DC2B2E">
      <w:pPr>
        <w:spacing w:after="0" w:line="240" w:lineRule="auto"/>
        <w:rPr>
          <w:rFonts w:ascii="Open Sans" w:hAnsi="Open Sans" w:cs="Open Sans"/>
          <w:b/>
          <w:i/>
          <w:sz w:val="20"/>
          <w:szCs w:val="20"/>
        </w:rPr>
      </w:pPr>
      <w:r w:rsidRPr="00DC2B2E">
        <w:rPr>
          <w:rFonts w:ascii="Open Sans" w:hAnsi="Open Sans" w:cs="Open Sans"/>
          <w:b/>
          <w:i/>
          <w:sz w:val="20"/>
          <w:szCs w:val="20"/>
        </w:rPr>
        <w:t>92.</w:t>
      </w:r>
      <w:r w:rsidR="00527C56" w:rsidRPr="00527C56">
        <w:rPr>
          <w:rFonts w:ascii="Open Sans" w:hAnsi="Open Sans" w:cs="Open Sans"/>
          <w:b/>
          <w:i/>
          <w:sz w:val="20"/>
          <w:szCs w:val="20"/>
        </w:rPr>
        <w:t xml:space="preserve"> </w:t>
      </w:r>
      <w:r w:rsidRPr="00DC2B2E">
        <w:rPr>
          <w:rFonts w:ascii="Open Sans" w:hAnsi="Open Sans" w:cs="Open Sans"/>
          <w:b/>
          <w:i/>
          <w:sz w:val="20"/>
          <w:szCs w:val="20"/>
        </w:rPr>
        <w:t xml:space="preserve">Should the regulator’s independent investigation and discipline regime for matters that affect the public interest also apply to entities that undertake actuarial work? Should the features of the regime differ for Public Interest Entities? </w:t>
      </w:r>
    </w:p>
    <w:p w14:paraId="0AB90E47" w14:textId="77777777" w:rsidR="00DC2B2E" w:rsidRPr="00DC2B2E" w:rsidRDefault="00DC2B2E" w:rsidP="00DC2B2E">
      <w:pPr>
        <w:spacing w:after="0" w:line="240" w:lineRule="auto"/>
        <w:rPr>
          <w:rFonts w:ascii="Open Sans" w:hAnsi="Open Sans" w:cs="Open Sans"/>
          <w:sz w:val="20"/>
          <w:szCs w:val="20"/>
        </w:rPr>
      </w:pPr>
    </w:p>
    <w:p w14:paraId="78656F97" w14:textId="77777777" w:rsidR="00DC2B2E" w:rsidRPr="00DC2B2E" w:rsidRDefault="00DC2B2E" w:rsidP="00DC2B2E">
      <w:pPr>
        <w:spacing w:after="0" w:line="240" w:lineRule="auto"/>
        <w:rPr>
          <w:rFonts w:ascii="Open Sans" w:hAnsi="Open Sans" w:cs="Open Sans"/>
          <w:sz w:val="20"/>
          <w:szCs w:val="20"/>
        </w:rPr>
      </w:pPr>
      <w:r w:rsidRPr="00DC2B2E">
        <w:rPr>
          <w:rFonts w:ascii="Open Sans" w:hAnsi="Open Sans" w:cs="Open Sans"/>
          <w:sz w:val="20"/>
          <w:szCs w:val="20"/>
        </w:rPr>
        <w:t xml:space="preserve">We believe the regulator’s independent investigation and discipline regime for matters that affect the public interest should also apply to entities that undertake actuarial work. We do not believe it is necessary for Public Interest Entities to be treated differently. However, we would imagine that there may be more direct channels to Public Interest Entities than to private entities. </w:t>
      </w:r>
    </w:p>
    <w:p w14:paraId="6676DDBA" w14:textId="77777777" w:rsidR="00DC2B2E" w:rsidRPr="00DC2B2E" w:rsidRDefault="00DC2B2E" w:rsidP="00DC2B2E">
      <w:pPr>
        <w:spacing w:after="0" w:line="240" w:lineRule="auto"/>
        <w:rPr>
          <w:rFonts w:ascii="Open Sans" w:hAnsi="Open Sans" w:cs="Open Sans"/>
          <w:sz w:val="20"/>
          <w:szCs w:val="20"/>
        </w:rPr>
      </w:pPr>
    </w:p>
    <w:p w14:paraId="79251BBB" w14:textId="45F3967C" w:rsidR="00DC2B2E" w:rsidRPr="00DC2B2E" w:rsidRDefault="00DC2B2E" w:rsidP="00DC2B2E">
      <w:pPr>
        <w:spacing w:after="0" w:line="240" w:lineRule="auto"/>
        <w:rPr>
          <w:rFonts w:ascii="Open Sans" w:hAnsi="Open Sans" w:cs="Open Sans"/>
          <w:b/>
          <w:i/>
          <w:sz w:val="20"/>
          <w:szCs w:val="20"/>
        </w:rPr>
      </w:pPr>
      <w:r w:rsidRPr="00DC2B2E">
        <w:rPr>
          <w:rFonts w:ascii="Open Sans" w:hAnsi="Open Sans" w:cs="Open Sans"/>
          <w:b/>
          <w:i/>
          <w:sz w:val="20"/>
          <w:szCs w:val="20"/>
        </w:rPr>
        <w:t>93.</w:t>
      </w:r>
      <w:r w:rsidR="00527C56" w:rsidRPr="00527C56">
        <w:rPr>
          <w:rFonts w:ascii="Open Sans" w:hAnsi="Open Sans" w:cs="Open Sans"/>
          <w:b/>
          <w:i/>
          <w:sz w:val="20"/>
          <w:szCs w:val="20"/>
        </w:rPr>
        <w:t xml:space="preserve"> </w:t>
      </w:r>
      <w:r w:rsidRPr="00DC2B2E">
        <w:rPr>
          <w:rFonts w:ascii="Open Sans" w:hAnsi="Open Sans" w:cs="Open Sans"/>
          <w:b/>
          <w:i/>
          <w:sz w:val="20"/>
          <w:szCs w:val="20"/>
        </w:rPr>
        <w:t>Does the regulator require any further powers in relation to its regulation and oversight of the actuarial profession?</w:t>
      </w:r>
    </w:p>
    <w:p w14:paraId="1FA5DC1B" w14:textId="77777777" w:rsidR="00DC2B2E" w:rsidRPr="00DC2B2E" w:rsidRDefault="00DC2B2E" w:rsidP="00DC2B2E">
      <w:pPr>
        <w:spacing w:after="0" w:line="240" w:lineRule="auto"/>
        <w:rPr>
          <w:rFonts w:ascii="Open Sans" w:hAnsi="Open Sans" w:cs="Open Sans"/>
          <w:sz w:val="20"/>
          <w:szCs w:val="20"/>
        </w:rPr>
      </w:pPr>
    </w:p>
    <w:p w14:paraId="38F9C55C" w14:textId="77777777" w:rsidR="00DC2B2E" w:rsidRPr="00DC2B2E" w:rsidRDefault="00DC2B2E" w:rsidP="00DC2B2E">
      <w:pPr>
        <w:spacing w:after="0" w:line="240" w:lineRule="auto"/>
        <w:rPr>
          <w:rFonts w:ascii="Open Sans" w:hAnsi="Open Sans" w:cs="Open Sans"/>
          <w:sz w:val="20"/>
          <w:szCs w:val="20"/>
        </w:rPr>
      </w:pPr>
      <w:r w:rsidRPr="00DC2B2E">
        <w:rPr>
          <w:rFonts w:ascii="Open Sans" w:hAnsi="Open Sans" w:cs="Open Sans"/>
          <w:sz w:val="20"/>
          <w:szCs w:val="20"/>
        </w:rPr>
        <w:t xml:space="preserve">We believe that the proposed powers should be sufficient for the regulator to carry out its </w:t>
      </w:r>
    </w:p>
    <w:p w14:paraId="6115342F" w14:textId="77777777" w:rsidR="00DC2B2E" w:rsidRPr="00DC2B2E" w:rsidRDefault="00DC2B2E" w:rsidP="00DC2B2E">
      <w:pPr>
        <w:spacing w:after="0" w:line="240" w:lineRule="auto"/>
        <w:rPr>
          <w:rFonts w:ascii="Open Sans" w:hAnsi="Open Sans" w:cs="Open Sans"/>
          <w:sz w:val="20"/>
          <w:szCs w:val="20"/>
        </w:rPr>
      </w:pPr>
      <w:r w:rsidRPr="00DC2B2E">
        <w:rPr>
          <w:rFonts w:ascii="Open Sans" w:hAnsi="Open Sans" w:cs="Open Sans"/>
          <w:sz w:val="20"/>
          <w:szCs w:val="20"/>
        </w:rPr>
        <w:t>duties. Please also see our responses to earlier questions.</w:t>
      </w:r>
    </w:p>
    <w:p w14:paraId="057FE025" w14:textId="77777777" w:rsidR="00DC2B2E" w:rsidRPr="00DC2B2E" w:rsidRDefault="00DC2B2E" w:rsidP="00DC2B2E">
      <w:pPr>
        <w:spacing w:after="0" w:line="240" w:lineRule="auto"/>
        <w:rPr>
          <w:rFonts w:ascii="Open Sans" w:hAnsi="Open Sans" w:cs="Open Sans"/>
          <w:sz w:val="20"/>
          <w:szCs w:val="20"/>
        </w:rPr>
      </w:pPr>
    </w:p>
    <w:p w14:paraId="66639EEC" w14:textId="77777777" w:rsidR="00054230" w:rsidRPr="00527C56" w:rsidRDefault="00054230" w:rsidP="00054230">
      <w:pPr>
        <w:rPr>
          <w:rFonts w:ascii="Open Sans" w:hAnsi="Open Sans" w:cs="Open Sans"/>
          <w:sz w:val="20"/>
          <w:szCs w:val="20"/>
        </w:rPr>
      </w:pPr>
    </w:p>
    <w:p w14:paraId="16D4AF09" w14:textId="77777777" w:rsidR="00054230" w:rsidRPr="00527C56" w:rsidRDefault="00054230" w:rsidP="00054230">
      <w:pPr>
        <w:rPr>
          <w:rFonts w:ascii="Open Sans" w:hAnsi="Open Sans" w:cs="Open Sans"/>
          <w:sz w:val="20"/>
          <w:szCs w:val="20"/>
        </w:rPr>
      </w:pPr>
    </w:p>
    <w:p w14:paraId="784BBAF1" w14:textId="77777777" w:rsidR="00B73C7E" w:rsidRPr="00DC2B2E" w:rsidRDefault="00B73C7E">
      <w:pPr>
        <w:rPr>
          <w:rFonts w:ascii="Open Sans" w:hAnsi="Open Sans" w:cs="Open Sans"/>
          <w:sz w:val="20"/>
          <w:szCs w:val="20"/>
        </w:rPr>
      </w:pPr>
    </w:p>
    <w:sectPr w:rsidR="00B73C7E" w:rsidRPr="00DC2B2E">
      <w:headerReference w:type="default" r:id="rI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610F5" w14:textId="77777777" w:rsidR="000A3149" w:rsidRPr="000A3149" w:rsidRDefault="00A93A78">
    <w:pPr>
      <w:pStyle w:val="Header"/>
      <w:rPr>
        <w:rFonts w:ascii="Open Sans" w:hAnsi="Open Sans" w:cs="Open Sans"/>
        <w:sz w:val="32"/>
        <w:szCs w:val="32"/>
      </w:rPr>
    </w:pPr>
    <w:r w:rsidRPr="000A3149">
      <w:rPr>
        <w:noProof/>
        <w:lang w:eastAsia="en-GB"/>
      </w:rPr>
      <w:drawing>
        <wp:inline distT="0" distB="0" distL="0" distR="0" wp14:anchorId="73902F58" wp14:editId="7D752785">
          <wp:extent cx="1432951" cy="1116419"/>
          <wp:effectExtent l="0" t="0" r="0" b="7620"/>
          <wp:docPr id="1" name="Picture 1" descr="S:\Communications\6 Images\IMAGE LIBRARY\10 Logos\PP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ications\6 Images\IMAGE LIBRARY\10 Logos\PPF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4200" cy="1148556"/>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EA27B5"/>
    <w:multiLevelType w:val="hybridMultilevel"/>
    <w:tmpl w:val="013E1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230"/>
    <w:rsid w:val="00047429"/>
    <w:rsid w:val="00054230"/>
    <w:rsid w:val="000C7B62"/>
    <w:rsid w:val="001A6D24"/>
    <w:rsid w:val="00527C56"/>
    <w:rsid w:val="005433CA"/>
    <w:rsid w:val="00694AEF"/>
    <w:rsid w:val="0083044D"/>
    <w:rsid w:val="00A24BA5"/>
    <w:rsid w:val="00A93A78"/>
    <w:rsid w:val="00B73C7E"/>
    <w:rsid w:val="00DC2B2E"/>
    <w:rsid w:val="00F14ACB"/>
    <w:rsid w:val="00F31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8E494"/>
  <w15:chartTrackingRefBased/>
  <w15:docId w15:val="{E27125E4-DF8E-45D2-A9C2-7AF7992CC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42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42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PF Document" ma:contentTypeID="0x01010008AB7A71225E4DB1B39316482CA839CE008C37637A11AA5E42A4C4734D00D03EFB" ma:contentTypeVersion="68" ma:contentTypeDescription=" " ma:contentTypeScope="" ma:versionID="64d98fe73093440b66405521551abec0">
  <xsd:schema xmlns:xsd="http://www.w3.org/2001/XMLSchema" xmlns:xs="http://www.w3.org/2001/XMLSchema" xmlns:p="http://schemas.microsoft.com/office/2006/metadata/properties" xmlns:ns2="9b27e09f-0bbe-429b-b3f1-ae41eae3bc24" targetNamespace="http://schemas.microsoft.com/office/2006/metadata/properties" ma:root="true" ma:fieldsID="dd06237d1cdb7ab3ffdc9f7d34816be5" ns2:_="">
    <xsd:import namespace="9b27e09f-0bbe-429b-b3f1-ae41eae3bc24"/>
    <xsd:element name="properties">
      <xsd:complexType>
        <xsd:sequence>
          <xsd:element name="documentManagement">
            <xsd:complexType>
              <xsd:all>
                <xsd:element ref="ns2:CandC_ClassificationTaxHTField" minOccurs="0"/>
                <xsd:element ref="ns2:CandC_SourceTaxHTField" minOccurs="0"/>
                <xsd:element ref="ns2:CandC_StatusTaxHTField" minOccurs="0"/>
                <xsd:element ref="ns2:CandC_DocumentTypeTaxHTField" minOccurs="0"/>
                <xsd:element ref="ns2:TaxCatchAllLabel" minOccurs="0"/>
                <xsd:element ref="ns2:l910465bf86346a1aedc2fda13281944" minOccurs="0"/>
                <xsd:element ref="ns2:TaxCatchAll" minOccurs="0"/>
                <xsd:element ref="ns2:b004c7b8f016475a97eaf9173553a17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7e09f-0bbe-429b-b3f1-ae41eae3bc24" elementFormDefault="qualified">
    <xsd:import namespace="http://schemas.microsoft.com/office/2006/documentManagement/types"/>
    <xsd:import namespace="http://schemas.microsoft.com/office/infopath/2007/PartnerControls"/>
    <xsd:element name="CandC_ClassificationTaxHTField" ma:index="3" nillable="true" ma:displayName="CandC_ClassificationTaxHTField" ma:hidden="true" ma:internalName="CandC_ClassificationTaxHTField">
      <xsd:simpleType>
        <xsd:restriction base="dms:Note"/>
      </xsd:simpleType>
    </xsd:element>
    <xsd:element name="CandC_SourceTaxHTField" ma:index="5" ma:taxonomy="true" ma:internalName="CandC_SourceTaxHTField" ma:taxonomyFieldName="CandC_Source" ma:displayName="Source" ma:indexed="true" ma:default="" ma:fieldId="{28709d92-b133-4b9f-b55b-ae75f914ad40}" ma:sspId="5955cebc-30de-49ff-9ad3-13ba316ee319" ma:termSetId="6ad2532a-4c8b-483c-8290-27e0a84cb7b9" ma:anchorId="00000000-0000-0000-0000-000000000000" ma:open="false" ma:isKeyword="false">
      <xsd:complexType>
        <xsd:sequence>
          <xsd:element ref="pc:Terms" minOccurs="0" maxOccurs="1"/>
        </xsd:sequence>
      </xsd:complexType>
    </xsd:element>
    <xsd:element name="CandC_StatusTaxHTField" ma:index="7" nillable="true" ma:displayName="CandC_StatusTaxHTField" ma:hidden="true" ma:internalName="CandC_StatusTaxHTField">
      <xsd:simpleType>
        <xsd:restriction base="dms:Note"/>
      </xsd:simpleType>
    </xsd:element>
    <xsd:element name="CandC_DocumentTypeTaxHTField" ma:index="9" ma:taxonomy="true" ma:internalName="CandC_DocumentTypeTaxHTField" ma:taxonomyFieldName="CandC_DocumentType" ma:displayName="Document Type" ma:indexed="true" ma:readOnly="false" ma:default="" ma:fieldId="{c8fbe193-0dd7-47a0-9766-305a5af96a71}" ma:sspId="5955cebc-30de-49ff-9ad3-13ba316ee319" ma:termSetId="538fb92d-8b8d-4a73-b56a-5d245847b2e0" ma:anchorId="00000000-0000-0000-0000-000000000000" ma:open="false" ma:isKeyword="false">
      <xsd:complexType>
        <xsd:sequence>
          <xsd:element ref="pc:Terms" minOccurs="0" maxOccurs="1"/>
        </xsd:sequence>
      </xsd:complexType>
    </xsd:element>
    <xsd:element name="TaxCatchAllLabel" ma:index="10" nillable="true" ma:displayName="Taxonomy Catch All Column1" ma:hidden="true" ma:list="{4cc24ad6-c183-419a-b281-126d65520cad}" ma:internalName="TaxCatchAllLabel" ma:readOnly="true" ma:showField="CatchAllDataLabel" ma:web="fd861fd4-41d2-4f96-94fe-d708323fde4f">
      <xsd:complexType>
        <xsd:complexContent>
          <xsd:extension base="dms:MultiChoiceLookup">
            <xsd:sequence>
              <xsd:element name="Value" type="dms:Lookup" maxOccurs="unbounded" minOccurs="0" nillable="true"/>
            </xsd:sequence>
          </xsd:extension>
        </xsd:complexContent>
      </xsd:complexType>
    </xsd:element>
    <xsd:element name="l910465bf86346a1aedc2fda13281944" ma:index="15" ma:taxonomy="true" ma:internalName="l910465bf86346a1aedc2fda13281944" ma:taxonomyFieldName="CandC_Status" ma:displayName="Status" ma:indexed="true" ma:default="" ma:fieldId="{5910465b-f863-46a1-aedc-2fda13281944}" ma:sspId="5955cebc-30de-49ff-9ad3-13ba316ee319" ma:termSetId="0b3164a9-8932-4a44-925d-96cbc64af26a"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4cc24ad6-c183-419a-b281-126d65520cad}" ma:internalName="TaxCatchAll" ma:showField="CatchAllData" ma:web="fd861fd4-41d2-4f96-94fe-d708323fde4f">
      <xsd:complexType>
        <xsd:complexContent>
          <xsd:extension base="dms:MultiChoiceLookup">
            <xsd:sequence>
              <xsd:element name="Value" type="dms:Lookup" maxOccurs="unbounded" minOccurs="0" nillable="true"/>
            </xsd:sequence>
          </xsd:extension>
        </xsd:complexContent>
      </xsd:complexType>
    </xsd:element>
    <xsd:element name="b004c7b8f016475a97eaf9173553a179" ma:index="19" ma:taxonomy="true" ma:internalName="b004c7b8f016475a97eaf9173553a179" ma:taxonomyFieldName="CandC_Classification" ma:displayName="Classification" ma:indexed="true" ma:default="" ma:fieldId="{b004c7b8-f016-475a-97ea-f9173553a179}" ma:sspId="5955cebc-30de-49ff-9ad3-13ba316ee319" ma:termSetId="f4999de4-5081-4177-bc18-27d831abbd4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2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5955cebc-30de-49ff-9ad3-13ba316ee319" ContentTypeId="0x01010008AB7A71225E4DB1B39316482CA839CE"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ndC_DocumentTypeTaxHTField xmlns="9b27e09f-0bbe-429b-b3f1-ae41eae3bc24">
      <Terms xmlns="http://schemas.microsoft.com/office/infopath/2007/PartnerControls">
        <TermInfo xmlns="http://schemas.microsoft.com/office/infopath/2007/PartnerControls">
          <TermName xmlns="http://schemas.microsoft.com/office/infopath/2007/PartnerControls">Communication (External)</TermName>
          <TermId xmlns="http://schemas.microsoft.com/office/infopath/2007/PartnerControls">6243230e-fd6a-48fb-86ee-fec3bd780fdb</TermId>
        </TermInfo>
      </Terms>
    </CandC_DocumentTypeTaxHTField>
    <CandC_StatusTaxHTField xmlns="9b27e09f-0bbe-429b-b3f1-ae41eae3bc24" xsi:nil="true"/>
    <CandC_SourceTaxHTField xmlns="9b27e09f-0bbe-429b-b3f1-ae41eae3bc24">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14ba473b-f7db-4b68-82f9-c130b548e19b</TermId>
        </TermInfo>
      </Terms>
    </CandC_SourceTaxHTField>
    <TaxCatchAll xmlns="9b27e09f-0bbe-429b-b3f1-ae41eae3bc24">
      <Value>3</Value>
      <Value>2</Value>
      <Value>29</Value>
      <Value>31</Value>
    </TaxCatchAll>
    <CandC_ClassificationTaxHTField xmlns="9b27e09f-0bbe-429b-b3f1-ae41eae3bc24" xsi:nil="true"/>
    <l910465bf86346a1aedc2fda13281944 xmlns="9b27e09f-0bbe-429b-b3f1-ae41eae3bc2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b2b7e9cb-6bed-49de-adf0-5f91ea0b5be5</TermId>
        </TermInfo>
      </Terms>
    </l910465bf86346a1aedc2fda13281944>
    <b004c7b8f016475a97eaf9173553a179 xmlns="9b27e09f-0bbe-429b-b3f1-ae41eae3bc24">
      <Terms xmlns="http://schemas.microsoft.com/office/infopath/2007/PartnerControls">
        <TermInfo xmlns="http://schemas.microsoft.com/office/infopath/2007/PartnerControls">
          <TermName xmlns="http://schemas.microsoft.com/office/infopath/2007/PartnerControls">Stakeholder Engagement</TermName>
          <TermId xmlns="http://schemas.microsoft.com/office/infopath/2007/PartnerControls">365163f1-2d8a-42b3-8f43-bb57ef3e4a69</TermId>
        </TermInfo>
      </Terms>
    </b004c7b8f016475a97eaf9173553a179>
  </documentManagement>
</p:properties>
</file>

<file path=customXml/itemProps1.xml><?xml version="1.0" encoding="utf-8"?>
<ds:datastoreItem xmlns:ds="http://schemas.openxmlformats.org/officeDocument/2006/customXml" ds:itemID="{D30F7F14-1275-4452-83D0-12A6AC241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7e09f-0bbe-429b-b3f1-ae41eae3b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494B83-7D42-4990-9D62-81EA3D780D3C}">
  <ds:schemaRefs>
    <ds:schemaRef ds:uri="Microsoft.SharePoint.Taxonomy.ContentTypeSync"/>
  </ds:schemaRefs>
</ds:datastoreItem>
</file>

<file path=customXml/itemProps3.xml><?xml version="1.0" encoding="utf-8"?>
<ds:datastoreItem xmlns:ds="http://schemas.openxmlformats.org/officeDocument/2006/customXml" ds:itemID="{B7E364A8-D5AE-4EDD-9B10-E346E06D60D5}">
  <ds:schemaRefs>
    <ds:schemaRef ds:uri="http://schemas.microsoft.com/sharepoint/v3/contenttype/forms"/>
  </ds:schemaRefs>
</ds:datastoreItem>
</file>

<file path=customXml/itemProps4.xml><?xml version="1.0" encoding="utf-8"?>
<ds:datastoreItem xmlns:ds="http://schemas.openxmlformats.org/officeDocument/2006/customXml" ds:itemID="{D41EF6F1-CC3C-4A43-904A-BA7B98276871}">
  <ds:schemaRef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purl.org/dc/elements/1.1/"/>
    <ds:schemaRef ds:uri="http://purl.org/dc/dcmitype/"/>
    <ds:schemaRef ds:uri="9b27e09f-0bbe-429b-b3f1-ae41eae3bc2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Morton</dc:creator>
  <cp:keywords/>
  <dc:description/>
  <cp:lastModifiedBy>Malcolm Morton</cp:lastModifiedBy>
  <cp:revision>8</cp:revision>
  <dcterms:created xsi:type="dcterms:W3CDTF">2021-07-14T09:34:00Z</dcterms:created>
  <dcterms:modified xsi:type="dcterms:W3CDTF">2021-07-14T11:25:00Z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9d813da6-5cc0-459b-8913-6d2f73f6d576</vt:lpwstr>
  </property>
  <property fmtid="{D5CDD505-2E9C-101B-9397-08002B2CF9AE}" pid="3" name="Classification">
    <vt:lpwstr>O</vt:lpwstr>
  </property>
  <property fmtid="{D5CDD505-2E9C-101B-9397-08002B2CF9AE}" pid="4" name="Caveat">
    <vt:lpwstr>C</vt:lpwstr>
  </property>
  <property fmtid="{D5CDD505-2E9C-101B-9397-08002B2CF9AE}" pid="5" name="ContentTypeId">
    <vt:lpwstr>0x01010008AB7A71225E4DB1B39316482CA839CE008C37637A11AA5E42A4C4734D00D03EFB</vt:lpwstr>
  </property>
  <property fmtid="{D5CDD505-2E9C-101B-9397-08002B2CF9AE}" pid="6" name="CandC_DocumentType">
    <vt:lpwstr>31;#Communication (External)|6243230e-fd6a-48fb-86ee-fec3bd780fdb</vt:lpwstr>
  </property>
  <property fmtid="{D5CDD505-2E9C-101B-9397-08002B2CF9AE}" pid="7" name="CandC_Status">
    <vt:lpwstr>3;#Draft|b2b7e9cb-6bed-49de-adf0-5f91ea0b5be5</vt:lpwstr>
  </property>
  <property fmtid="{D5CDD505-2E9C-101B-9397-08002B2CF9AE}" pid="8" name="CandC_Classification">
    <vt:lpwstr>29;#Stakeholder Engagement|365163f1-2d8a-42b3-8f43-bb57ef3e4a69</vt:lpwstr>
  </property>
  <property fmtid="{D5CDD505-2E9C-101B-9397-08002B2CF9AE}" pid="9" name="CandC_Source">
    <vt:lpwstr>2;#Internal|14ba473b-f7db-4b68-82f9-c130b548e19b</vt:lpwstr>
  </property>
</Properties>
</file>